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B6" w:rsidRDefault="009F7294">
      <w:r>
        <w:t>Irradiation of Blood Products Guide for Vanderbilt University Medical Center (VUMC)</w:t>
      </w:r>
    </w:p>
    <w:p w:rsidR="009F7294" w:rsidRDefault="009F7294">
      <w:r>
        <w:t xml:space="preserve">Purpose of document: Provide VUMC healthcare providers with clear guidance on clinical situations that require blood product irradiation.  </w:t>
      </w:r>
      <w:proofErr w:type="gramStart"/>
      <w:r>
        <w:t>Document advantages and disadvantages.</w:t>
      </w:r>
      <w:proofErr w:type="gramEnd"/>
    </w:p>
    <w:p w:rsidR="009F7294" w:rsidRDefault="009F7294">
      <w:r>
        <w:t xml:space="preserve">The VUMC blood bank is located at 4650 TVC (phone is 2-2233), website </w:t>
      </w:r>
      <w:hyperlink r:id="rId8" w:history="1">
        <w:r w:rsidRPr="00671297">
          <w:rPr>
            <w:rStyle w:val="Hyperlink"/>
          </w:rPr>
          <w:t>https://www.mc.vanderbilt.edu/root/vumc.php?site=vmcpathology&amp;doc=39082</w:t>
        </w:r>
      </w:hyperlink>
    </w:p>
    <w:p w:rsidR="009F7294" w:rsidRDefault="009F7294">
      <w:r>
        <w:t xml:space="preserve">Indication:  Prevention of transfusion associated graft versus host disease (TA-GVHD), a </w:t>
      </w:r>
      <w:r w:rsidR="00B935EE">
        <w:t>uniformly</w:t>
      </w:r>
      <w:r>
        <w:t xml:space="preserve"> fatal complication.</w:t>
      </w:r>
    </w:p>
    <w:p w:rsidR="009F7294" w:rsidRDefault="009F7294">
      <w:r>
        <w:t xml:space="preserve">TA-GVHD: complication of transfusion of viable lymphocytes from allogeneic blood (RBC, platelets, granulocytes) to immunosuppressed recipient.  Disparity of donor and recipient HLA types results in donor T lymphocyte activation—skin, gut, lover, </w:t>
      </w:r>
      <w:proofErr w:type="gramStart"/>
      <w:r>
        <w:t>bone</w:t>
      </w:r>
      <w:proofErr w:type="gramEnd"/>
      <w:r>
        <w:t xml:space="preserve"> marrow destruction.  </w:t>
      </w:r>
    </w:p>
    <w:p w:rsidR="009F7294" w:rsidRDefault="009F7294">
      <w:r>
        <w:t>Clinical Features of TA-GVHD:  1-2 weeks after transfusion development of fever, maculopapular rash, diarrhea, hepatitis, and bone marrow hypoplasia.</w:t>
      </w:r>
    </w:p>
    <w:p w:rsidR="009F7294" w:rsidRDefault="00511DF5">
      <w:r>
        <w:t>Diagnosis:  Biopsy proven donor lymphocyte persistence (RFLP of donor WBC needed)</w:t>
      </w:r>
    </w:p>
    <w:p w:rsidR="00511DF5" w:rsidRDefault="00511DF5">
      <w:r>
        <w:t>Prevention of TA-GVHD:  Irradiation</w:t>
      </w:r>
      <w:r w:rsidR="00B935EE">
        <w:t>.  VUMC blood bank uses Cesium-</w:t>
      </w:r>
      <w:r>
        <w:t xml:space="preserve">37 gamma irradiation to inactivate donor lymphocytes by delivering a minimum of 25 </w:t>
      </w:r>
      <w:proofErr w:type="spellStart"/>
      <w:r>
        <w:t>Gy</w:t>
      </w:r>
      <w:proofErr w:type="spellEnd"/>
      <w:r>
        <w:t xml:space="preserve"> to the blood product.  </w:t>
      </w:r>
    </w:p>
    <w:p w:rsidR="00511DF5" w:rsidRDefault="00B935EE">
      <w:r>
        <w:t>Who should receive irradiated blood products?</w:t>
      </w:r>
    </w:p>
    <w:p w:rsidR="00B935EE" w:rsidRDefault="00B935EE" w:rsidP="00B935EE">
      <w:pPr>
        <w:pStyle w:val="ListParagraph"/>
        <w:numPr>
          <w:ilvl w:val="0"/>
          <w:numId w:val="1"/>
        </w:numPr>
      </w:pPr>
      <w:r>
        <w:t>Stem cell transplant patie</w:t>
      </w:r>
      <w:r w:rsidR="00864878">
        <w:t xml:space="preserve">nts (either peripheral blood, </w:t>
      </w:r>
      <w:r>
        <w:t>bone marrow</w:t>
      </w:r>
      <w:r w:rsidR="00864878">
        <w:t>, or cord blood</w:t>
      </w:r>
      <w:r>
        <w:t>)</w:t>
      </w:r>
    </w:p>
    <w:p w:rsidR="00B935EE" w:rsidRDefault="00F373A8" w:rsidP="00B935EE">
      <w:pPr>
        <w:pStyle w:val="ListParagraph"/>
        <w:numPr>
          <w:ilvl w:val="0"/>
          <w:numId w:val="1"/>
        </w:numPr>
      </w:pPr>
      <w:r>
        <w:t>Directed donors</w:t>
      </w:r>
    </w:p>
    <w:p w:rsidR="00864878" w:rsidRDefault="00864878" w:rsidP="00E63CB5">
      <w:pPr>
        <w:pStyle w:val="ListParagraph"/>
        <w:numPr>
          <w:ilvl w:val="0"/>
          <w:numId w:val="1"/>
        </w:numPr>
      </w:pPr>
      <w:r>
        <w:t xml:space="preserve">Treatment with purine analogs </w:t>
      </w:r>
    </w:p>
    <w:p w:rsidR="00864878" w:rsidRDefault="00864878" w:rsidP="00E63CB5">
      <w:pPr>
        <w:pStyle w:val="ListParagraph"/>
        <w:numPr>
          <w:ilvl w:val="0"/>
          <w:numId w:val="1"/>
        </w:numPr>
      </w:pPr>
      <w:r>
        <w:t>Hematologic malignancy</w:t>
      </w:r>
    </w:p>
    <w:p w:rsidR="00F373A8" w:rsidRDefault="00864878" w:rsidP="00E63CB5">
      <w:pPr>
        <w:pStyle w:val="ListParagraph"/>
        <w:numPr>
          <w:ilvl w:val="0"/>
          <w:numId w:val="1"/>
        </w:numPr>
      </w:pPr>
      <w:r>
        <w:t xml:space="preserve">Aggressive </w:t>
      </w:r>
      <w:r w:rsidR="00E63CB5">
        <w:t>c</w:t>
      </w:r>
      <w:r w:rsidR="00F373A8">
        <w:t xml:space="preserve">hemotherapeutic treatment </w:t>
      </w:r>
    </w:p>
    <w:p w:rsidR="00F373A8" w:rsidRDefault="00F373A8" w:rsidP="00B935EE">
      <w:pPr>
        <w:pStyle w:val="ListParagraph"/>
        <w:numPr>
          <w:ilvl w:val="0"/>
          <w:numId w:val="1"/>
        </w:numPr>
      </w:pPr>
      <w:r>
        <w:t>Intrauterine transfusion</w:t>
      </w:r>
    </w:p>
    <w:p w:rsidR="00F373A8" w:rsidRDefault="00F373A8" w:rsidP="00B935EE">
      <w:pPr>
        <w:pStyle w:val="ListParagraph"/>
        <w:numPr>
          <w:ilvl w:val="0"/>
          <w:numId w:val="1"/>
        </w:numPr>
      </w:pPr>
      <w:r>
        <w:t>Neonatal transfusion (&lt;4 months of life)</w:t>
      </w:r>
    </w:p>
    <w:p w:rsidR="00864878" w:rsidRDefault="00864878" w:rsidP="00B935EE">
      <w:pPr>
        <w:pStyle w:val="ListParagraph"/>
        <w:numPr>
          <w:ilvl w:val="0"/>
          <w:numId w:val="1"/>
        </w:numPr>
      </w:pPr>
      <w:r>
        <w:t>Congenital</w:t>
      </w:r>
      <w:bookmarkStart w:id="0" w:name="_GoBack"/>
      <w:bookmarkEnd w:id="0"/>
      <w:r>
        <w:t xml:space="preserve"> T cell immunodeficiency</w:t>
      </w:r>
    </w:p>
    <w:p w:rsidR="00E63CB5" w:rsidRDefault="00E63CB5" w:rsidP="00F373A8"/>
    <w:p w:rsidR="00E63CB5" w:rsidRDefault="00E63CB5" w:rsidP="00F373A8">
      <w:r>
        <w:t xml:space="preserve">The VUMC Blood Bank SOP for irradiation can be review on the Policy Tech website </w:t>
      </w:r>
      <w:hyperlink r:id="rId9" w:history="1">
        <w:r w:rsidR="00864878" w:rsidRPr="00AB7029">
          <w:rPr>
            <w:rStyle w:val="Hyperlink"/>
          </w:rPr>
          <w:t>https://vanderbilt.policytech.com</w:t>
        </w:r>
      </w:hyperlink>
    </w:p>
    <w:p w:rsidR="00864878" w:rsidRDefault="00864878" w:rsidP="00F373A8"/>
    <w:p w:rsidR="00F373A8" w:rsidRDefault="00F373A8" w:rsidP="00F373A8">
      <w:r>
        <w:t xml:space="preserve">Who should </w:t>
      </w:r>
      <w:r w:rsidRPr="00F373A8">
        <w:rPr>
          <w:b/>
          <w:u w:val="single"/>
        </w:rPr>
        <w:t>NOT</w:t>
      </w:r>
      <w:r>
        <w:rPr>
          <w:b/>
          <w:u w:val="single"/>
        </w:rPr>
        <w:t xml:space="preserve"> </w:t>
      </w:r>
      <w:r>
        <w:t>receive irradiated blood products?  Routine surgery patients, solid tumor patients, HIV patients, autoimmune disease, solid organ transplantation</w:t>
      </w:r>
    </w:p>
    <w:p w:rsidR="00F373A8" w:rsidRPr="00F373A8" w:rsidRDefault="00F373A8" w:rsidP="00F373A8">
      <w:proofErr w:type="gramStart"/>
      <w:r>
        <w:lastRenderedPageBreak/>
        <w:t>Disadvantage of irradiation?</w:t>
      </w:r>
      <w:proofErr w:type="gramEnd"/>
      <w:r>
        <w:t xml:space="preserve">  Increases supernatant potassium level of RBC product, alters inventory outdate</w:t>
      </w:r>
      <w:r w:rsidR="0023605F">
        <w:t>, increased turn-around time for blood product orders</w:t>
      </w:r>
    </w:p>
    <w:p w:rsidR="009F7294" w:rsidRDefault="009F7294"/>
    <w:p w:rsidR="00864878" w:rsidRDefault="00864878">
      <w:r>
        <w:t xml:space="preserve">Recent literature from the UK calls into question the utility of blood product irradiation for patients undergoing </w:t>
      </w:r>
      <w:proofErr w:type="spellStart"/>
      <w:r>
        <w:t>alemtuzumab</w:t>
      </w:r>
      <w:proofErr w:type="spellEnd"/>
      <w:r>
        <w:t xml:space="preserve"> treated renal </w:t>
      </w:r>
      <w:proofErr w:type="spellStart"/>
      <w:r>
        <w:t>transplantion</w:t>
      </w:r>
      <w:proofErr w:type="spellEnd"/>
      <w:r>
        <w:t xml:space="preserve"> (</w:t>
      </w:r>
      <w:proofErr w:type="spellStart"/>
      <w:r w:rsidRPr="00864878">
        <w:t>Transfus</w:t>
      </w:r>
      <w:proofErr w:type="spellEnd"/>
      <w:r w:rsidRPr="00864878">
        <w:t xml:space="preserve"> Med. 2016 Apr</w:t>
      </w:r>
      <w:proofErr w:type="gramStart"/>
      <w:r w:rsidRPr="00864878">
        <w:t>;26</w:t>
      </w:r>
      <w:proofErr w:type="gramEnd"/>
      <w:r w:rsidRPr="00864878">
        <w:t>(2):138-46.</w:t>
      </w:r>
      <w:r>
        <w:t xml:space="preserve">); however, the standards for leukocyte reduction between the US and the UK are discrepant.  No definitive data exists to determine the role (for or against) for blood product irradiation in </w:t>
      </w:r>
      <w:proofErr w:type="spellStart"/>
      <w:r>
        <w:t>alemtuzumab</w:t>
      </w:r>
      <w:proofErr w:type="spellEnd"/>
      <w:r>
        <w:t xml:space="preserve"> treated renal transplant </w:t>
      </w:r>
      <w:proofErr w:type="gramStart"/>
      <w:r>
        <w:t>patients,</w:t>
      </w:r>
      <w:proofErr w:type="gramEnd"/>
      <w:r>
        <w:t xml:space="preserve"> as such caution should be applied when determining the role for irradiation in this patient population.  </w:t>
      </w:r>
    </w:p>
    <w:p w:rsidR="00864878" w:rsidRDefault="00864878"/>
    <w:p w:rsidR="009F7294" w:rsidRDefault="00F373A8">
      <w:r>
        <w:t>Document created by Garrett S. Booth M.D., M.S.</w:t>
      </w:r>
      <w:r w:rsidRPr="00F373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F72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5F" w:rsidRDefault="0023605F" w:rsidP="0023605F">
      <w:pPr>
        <w:spacing w:after="0" w:line="240" w:lineRule="auto"/>
      </w:pPr>
      <w:r>
        <w:separator/>
      </w:r>
    </w:p>
  </w:endnote>
  <w:endnote w:type="continuationSeparator" w:id="0">
    <w:p w:rsidR="0023605F" w:rsidRDefault="0023605F" w:rsidP="002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5F" w:rsidRDefault="0023605F" w:rsidP="0023605F">
      <w:pPr>
        <w:spacing w:after="0" w:line="240" w:lineRule="auto"/>
      </w:pPr>
      <w:r>
        <w:separator/>
      </w:r>
    </w:p>
  </w:footnote>
  <w:footnote w:type="continuationSeparator" w:id="0">
    <w:p w:rsidR="0023605F" w:rsidRDefault="0023605F" w:rsidP="0023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5F" w:rsidRDefault="0023605F">
    <w:pPr>
      <w:pStyle w:val="Header"/>
    </w:pPr>
    <w:r>
      <w:rPr>
        <w:noProof/>
      </w:rP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31B1B7D6" wp14:editId="09E66D8E">
          <wp:extent cx="638175" cy="638175"/>
          <wp:effectExtent l="0" t="0" r="9525" b="9525"/>
          <wp:docPr id="2" name="Picture 2" descr="O:\CP\TM\Transfusion Medicine Faculty\Garrett Booth\Website\qrcode.9428032_link_to_VUMC_blood_bank_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P\TM\Transfusion Medicine Faculty\Garrett Booth\Website\qrcode.9428032_link_to_VUMC_blood_bank_web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05F" w:rsidRDefault="00236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05D0"/>
    <w:multiLevelType w:val="hybridMultilevel"/>
    <w:tmpl w:val="2896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94"/>
    <w:rsid w:val="0023605F"/>
    <w:rsid w:val="00511DF5"/>
    <w:rsid w:val="00702CA8"/>
    <w:rsid w:val="00864878"/>
    <w:rsid w:val="009F7294"/>
    <w:rsid w:val="00B935EE"/>
    <w:rsid w:val="00E63CB5"/>
    <w:rsid w:val="00F373A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5F"/>
  </w:style>
  <w:style w:type="paragraph" w:styleId="Footer">
    <w:name w:val="footer"/>
    <w:basedOn w:val="Normal"/>
    <w:link w:val="FooterChar"/>
    <w:uiPriority w:val="99"/>
    <w:unhideWhenUsed/>
    <w:rsid w:val="0023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5F"/>
  </w:style>
  <w:style w:type="paragraph" w:styleId="Footer">
    <w:name w:val="footer"/>
    <w:basedOn w:val="Normal"/>
    <w:link w:val="FooterChar"/>
    <w:uiPriority w:val="99"/>
    <w:unhideWhenUsed/>
    <w:rsid w:val="0023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.vanderbilt.edu/root/vumc.php?site=vmcpathology&amp;doc=390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anderbilt.policy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Garrett S</dc:creator>
  <cp:lastModifiedBy>Booth, Garrett S</cp:lastModifiedBy>
  <cp:revision>3</cp:revision>
  <cp:lastPrinted>2012-11-15T14:46:00Z</cp:lastPrinted>
  <dcterms:created xsi:type="dcterms:W3CDTF">2016-09-13T19:27:00Z</dcterms:created>
  <dcterms:modified xsi:type="dcterms:W3CDTF">2016-09-13T19:34:00Z</dcterms:modified>
</cp:coreProperties>
</file>