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in vivo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ATP:ADP Ratio Assay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Adapted from BioChain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in vitro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assay (Catalog # Z5030042)</w:t>
      </w:r>
    </w:p>
    <w:p>
      <w:pPr>
        <w:pStyle w:val="Normal"/>
        <w:rPr>
          <w:b w:val="1"/>
          <w:bCs w:val="1"/>
          <w:color w:val="000000"/>
          <w:sz w:val="24"/>
          <w:szCs w:val="24"/>
        </w:rPr>
      </w:pPr>
    </w:p>
    <w:p>
      <w:pPr>
        <w:pStyle w:val="Normal"/>
        <w:bidi w:val="0"/>
        <w:rPr>
          <w:b w:val="1"/>
          <w:bCs w:val="1"/>
          <w:color w:val="000000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ATP Standard Curve Preparation: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Sigma (Cat </w:t>
      </w:r>
      <w:r>
        <w:rPr>
          <w:rFonts w:hAnsi="Times New Roman" w:hint="default"/>
          <w:sz w:val="24"/>
          <w:szCs w:val="24"/>
          <w:rtl w:val="0"/>
          <w:lang w:val="en-US"/>
        </w:rPr>
        <w:sym w:font="Times New Roman" w:char="F0E0"/>
      </w:r>
      <w:r>
        <w:rPr>
          <w:sz w:val="24"/>
          <w:szCs w:val="24"/>
          <w:rtl w:val="0"/>
          <w:lang w:val="en-US"/>
        </w:rPr>
        <w:t xml:space="preserve"> A6559)</w:t>
      </w:r>
    </w:p>
    <w:p>
      <w:pPr>
        <w:pStyle w:val="Normal"/>
        <w:numPr>
          <w:ilvl w:val="1"/>
          <w:numId w:val="2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is a 0.1M (100mM) stock solution stored at -20</w:t>
      </w:r>
      <w:r>
        <w:rPr>
          <w:sz w:val="24"/>
          <w:szCs w:val="24"/>
          <w:vertAlign w:val="superscript"/>
          <w:rtl w:val="0"/>
          <w:lang w:val="en-US"/>
        </w:rPr>
        <w:t>o</w:t>
      </w:r>
      <w:r>
        <w:rPr>
          <w:sz w:val="24"/>
          <w:szCs w:val="24"/>
          <w:rtl w:val="0"/>
          <w:lang w:val="en-US"/>
        </w:rPr>
        <w:t>C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ATP standard stock and thaw on ice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Generate the following dilutions</w:t>
      </w:r>
    </w:p>
    <w:p>
      <w:pPr>
        <w:pStyle w:val="Normal"/>
        <w:tabs>
          <w:tab w:val="left" w:pos="720"/>
        </w:tabs>
        <w:rPr>
          <w:sz w:val="24"/>
          <w:szCs w:val="24"/>
        </w:rPr>
      </w:pPr>
    </w:p>
    <w:tbl>
      <w:tblPr>
        <w:tblW w:w="9383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542"/>
        <w:gridCol w:w="1614"/>
        <w:gridCol w:w="2422"/>
        <w:gridCol w:w="3805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[ATP Molar]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uL of ddH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bscript"/>
                <w:rtl w:val="0"/>
                <w:lang w:val="en-US"/>
              </w:rPr>
              <w:t>2</w:t>
            </w: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uL of ATP Standard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uL of Previous Dilution to add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-3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 of 10</w:t>
            </w:r>
            <w:r>
              <w:rPr>
                <w:rFonts w:ascii="Garamond"/>
                <w:sz w:val="24"/>
                <w:szCs w:val="24"/>
                <w:vertAlign w:val="superscript"/>
                <w:rtl w:val="0"/>
                <w:lang w:val="en-US"/>
              </w:rPr>
              <w:t>-3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-5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 of 10</w:t>
            </w:r>
            <w:r>
              <w:rPr>
                <w:rFonts w:ascii="Garamond"/>
                <w:sz w:val="24"/>
                <w:szCs w:val="24"/>
                <w:vertAlign w:val="superscript"/>
                <w:rtl w:val="0"/>
                <w:lang w:val="en-US"/>
              </w:rPr>
              <w:t>-4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-6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 of 10</w:t>
            </w:r>
            <w:r>
              <w:rPr>
                <w:rFonts w:ascii="Garamond"/>
                <w:sz w:val="24"/>
                <w:szCs w:val="24"/>
                <w:vertAlign w:val="superscript"/>
                <w:rtl w:val="0"/>
                <w:lang w:val="en-US"/>
              </w:rPr>
              <w:t>-5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-7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 of 10</w:t>
            </w:r>
            <w:r>
              <w:rPr>
                <w:rFonts w:ascii="Garamond"/>
                <w:sz w:val="24"/>
                <w:szCs w:val="24"/>
                <w:vertAlign w:val="superscript"/>
                <w:rtl w:val="0"/>
                <w:lang w:val="en-US"/>
              </w:rPr>
              <w:t>-6</w:t>
            </w:r>
          </w:p>
        </w:tc>
      </w:tr>
      <w:tr>
        <w:tblPrEx>
          <w:shd w:val="clear" w:color="auto" w:fill="auto"/>
        </w:tblPrEx>
        <w:trPr>
          <w:trHeight w:val="411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-8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 of 10</w:t>
            </w:r>
            <w:r>
              <w:rPr>
                <w:rFonts w:ascii="Garamond"/>
                <w:sz w:val="24"/>
                <w:szCs w:val="24"/>
                <w:vertAlign w:val="superscript"/>
                <w:rtl w:val="0"/>
                <w:lang w:val="en-US"/>
              </w:rPr>
              <w:t>-7</w:t>
            </w:r>
          </w:p>
        </w:tc>
      </w:tr>
      <w:tr>
        <w:tblPrEx>
          <w:shd w:val="clear" w:color="auto" w:fill="auto"/>
        </w:tblPrEx>
        <w:trPr>
          <w:trHeight w:val="385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-9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 of 10</w:t>
            </w:r>
            <w:r>
              <w:rPr>
                <w:rFonts w:ascii="Garamond"/>
                <w:sz w:val="24"/>
                <w:szCs w:val="24"/>
                <w:vertAlign w:val="superscript"/>
                <w:rtl w:val="0"/>
                <w:lang w:val="en-US"/>
              </w:rPr>
              <w:t>-8</w:t>
            </w:r>
          </w:p>
        </w:tc>
      </w:tr>
      <w:tr>
        <w:tblPrEx>
          <w:shd w:val="clear" w:color="auto" w:fill="auto"/>
        </w:tblPrEx>
        <w:trPr>
          <w:trHeight w:val="385" w:hRule="atLeast"/>
        </w:trPr>
        <w:tc>
          <w:tcPr>
            <w:tcW w:type="dxa" w:w="1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Garamond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-10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900uL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----------------</w:t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Garamond"/>
                <w:sz w:val="24"/>
                <w:szCs w:val="24"/>
                <w:rtl w:val="0"/>
                <w:lang w:val="en-US"/>
              </w:rPr>
              <w:t>100ul of 10</w:t>
            </w:r>
            <w:r>
              <w:rPr>
                <w:rFonts w:ascii="Garamond"/>
                <w:sz w:val="24"/>
                <w:szCs w:val="24"/>
                <w:vertAlign w:val="superscript"/>
                <w:rtl w:val="0"/>
                <w:lang w:val="en-US"/>
              </w:rPr>
              <w:t>-9</w:t>
            </w:r>
          </w:p>
        </w:tc>
      </w:tr>
    </w:tbl>
    <w:p>
      <w:pPr>
        <w:pStyle w:val="Normal"/>
        <w:tabs>
          <w:tab w:val="left" w:pos="720"/>
        </w:tabs>
        <w:rPr>
          <w:sz w:val="24"/>
          <w:szCs w:val="24"/>
        </w:rPr>
      </w:pPr>
    </w:p>
    <w:p>
      <w:pPr>
        <w:pStyle w:val="Normal"/>
        <w:ind w:left="360" w:firstLine="0"/>
      </w:pPr>
    </w:p>
    <w:p>
      <w:pPr>
        <w:pStyle w:val="Free Form"/>
        <w:jc w:val="center"/>
      </w:pPr>
    </w:p>
    <w:p>
      <w:pPr>
        <w:pStyle w:val="Normal"/>
        <w:bidi w:val="0"/>
        <w:rPr>
          <w:b w:val="1"/>
          <w:bCs w:val="1"/>
          <w:color w:val="000000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Reagent Preparation: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ATP assay buffer, ATP substrate, ATP co-substrate, ATP enzyme and ADP enzyme from -20</w:t>
      </w:r>
      <w:r>
        <w:rPr>
          <w:sz w:val="24"/>
          <w:szCs w:val="24"/>
          <w:vertAlign w:val="superscript"/>
          <w:rtl w:val="0"/>
          <w:lang w:val="en-US"/>
        </w:rPr>
        <w:t>o</w:t>
      </w:r>
      <w:r>
        <w:rPr>
          <w:sz w:val="24"/>
          <w:szCs w:val="24"/>
          <w:rtl w:val="0"/>
          <w:lang w:val="en-US"/>
        </w:rPr>
        <w:t>C and allow to thaw on ice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Once thawed, prepare a master mix for ATP reaction</w:t>
      </w:r>
    </w:p>
    <w:p>
      <w:pPr>
        <w:pStyle w:val="Normal"/>
        <w:numPr>
          <w:ilvl w:val="1"/>
          <w:numId w:val="2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Per well of the 96 well plate you will need:</w:t>
      </w:r>
    </w:p>
    <w:p>
      <w:pPr>
        <w:pStyle w:val="Normal"/>
        <w:numPr>
          <w:ilvl w:val="2"/>
          <w:numId w:val="2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95uL of ATP assay buffer</w:t>
      </w:r>
    </w:p>
    <w:p>
      <w:pPr>
        <w:pStyle w:val="Normal"/>
        <w:numPr>
          <w:ilvl w:val="2"/>
          <w:numId w:val="2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1uL of ATP substrate</w:t>
      </w:r>
    </w:p>
    <w:p>
      <w:pPr>
        <w:pStyle w:val="Normal"/>
        <w:numPr>
          <w:ilvl w:val="2"/>
          <w:numId w:val="2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1uL of ATP co-substrate</w:t>
      </w:r>
    </w:p>
    <w:p>
      <w:pPr>
        <w:pStyle w:val="Normal"/>
        <w:numPr>
          <w:ilvl w:val="2"/>
          <w:numId w:val="2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1uL of ATP enzyme</w:t>
      </w:r>
    </w:p>
    <w:p>
      <w:pPr>
        <w:pStyle w:val="Normal"/>
        <w:numPr>
          <w:ilvl w:val="3"/>
          <w:numId w:val="2"/>
        </w:numPr>
        <w:ind w:left="288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calculating needs, remember each sample should be run in triplicate and these reagents will also need to be added to the ATP standards!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Add 90uL of the ATP master mix to the appropriate wells of a COSTAR, white walled, transparent, flat bottom 96 well plate (On plate reader, labeled as COS96)</w:t>
      </w:r>
    </w:p>
    <w:p>
      <w:pPr>
        <w:pStyle w:val="Normal"/>
        <w:numPr>
          <w:ilvl w:val="1"/>
          <w:numId w:val="2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is so as soon as the samples are processed, they can be added and the assay can begin immediately</w:t>
      </w:r>
      <w:r>
        <w:rPr>
          <w:rFonts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Normal"/>
        <w:numPr>
          <w:ilvl w:val="1"/>
          <w:numId w:val="2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 addition, add the appropriate amount of ddH</w:t>
      </w:r>
      <w:r>
        <w:rPr>
          <w:sz w:val="22"/>
          <w:szCs w:val="22"/>
          <w:vertAlign w:val="subscript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O to the wells in which sample dilutions are needed</w:t>
      </w:r>
      <w:r>
        <w:rPr>
          <w:rFonts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Normal"/>
        <w:numPr>
          <w:ilvl w:val="2"/>
          <w:numId w:val="2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Troubleshooting revealed that for one cortical hemisphere from a P35 mouse, an undiluted and a 1:2 diluted sample will place you in the linear portion of the ATP standard curve</w:t>
      </w:r>
    </w:p>
    <w:p>
      <w:pPr>
        <w:pStyle w:val="Normal"/>
        <w:numPr>
          <w:ilvl w:val="3"/>
          <w:numId w:val="2"/>
        </w:numPr>
        <w:ind w:left="288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Since 100uL of the sample are needed for the reaction, this means that wells designated for the 1:2 diluted samples will have 50uL of </w:t>
      </w:r>
      <w:r>
        <w:rPr>
          <w:rtl w:val="0"/>
          <w:lang w:val="en-US"/>
        </w:rPr>
        <w:t>ddH</w:t>
      </w:r>
      <w:r>
        <w:rPr>
          <w:sz w:val="22"/>
          <w:szCs w:val="22"/>
          <w:vertAlign w:val="subscript"/>
          <w:rtl w:val="0"/>
          <w:lang w:val="en-US"/>
        </w:rPr>
        <w:t>2</w:t>
      </w:r>
      <w:r>
        <w:rPr>
          <w:rtl w:val="0"/>
          <w:lang w:val="en-US"/>
        </w:rPr>
        <w:t>O</w:t>
      </w:r>
      <w:r>
        <w:rPr>
          <w:sz w:val="24"/>
          <w:szCs w:val="24"/>
          <w:rtl w:val="0"/>
          <w:lang w:val="en-US"/>
        </w:rPr>
        <w:t xml:space="preserve"> already added (again so the actual brain sample additions mark the immediate start of the reaction</w:t>
      </w:r>
      <w:r>
        <w:rPr>
          <w:rFonts w:hAnsi="Times New Roman" w:hint="default"/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Normal"/>
        <w:tabs>
          <w:tab w:val="left" w:pos="2880"/>
        </w:tabs>
        <w:rPr>
          <w:sz w:val="24"/>
          <w:szCs w:val="24"/>
        </w:rPr>
      </w:pPr>
    </w:p>
    <w:p>
      <w:pPr>
        <w:pStyle w:val="Normal"/>
        <w:bidi w:val="0"/>
        <w:rPr>
          <w:b w:val="1"/>
          <w:bCs w:val="1"/>
          <w:color w:val="000000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Other Preparations: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All tools for dissection should be cooled in LN2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All sample tubes, etc should be labeled appropriately and stored on ice</w:t>
      </w:r>
    </w:p>
    <w:p>
      <w:pPr>
        <w:pStyle w:val="Normal"/>
        <w:ind w:left="360" w:firstLine="0"/>
      </w:pPr>
    </w:p>
    <w:p>
      <w:pPr>
        <w:pStyle w:val="Normal"/>
        <w:bidi w:val="0"/>
        <w:rPr>
          <w:b w:val="1"/>
          <w:bCs w:val="1"/>
          <w:color w:val="000000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Tissue Acquisition: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Anesthetize animal using appropriate amount of Fatal Plus via ip injection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Adult Mouse </w:t>
      </w:r>
      <w:r>
        <w:rPr>
          <w:rFonts w:hAnsi="Times New Roman" w:hint="default"/>
          <w:sz w:val="24"/>
          <w:szCs w:val="24"/>
          <w:rtl w:val="0"/>
          <w:lang w:val="en-US"/>
        </w:rPr>
        <w:sym w:font="Times New Roman" w:char="F0E0"/>
      </w:r>
      <w:r>
        <w:rPr>
          <w:sz w:val="24"/>
          <w:szCs w:val="24"/>
          <w:rtl w:val="0"/>
          <w:lang w:val="en-US"/>
        </w:rPr>
        <w:t xml:space="preserve"> ~200uL</w:t>
      </w:r>
    </w:p>
    <w:p>
      <w:pPr>
        <w:pStyle w:val="Normal"/>
        <w:numPr>
          <w:ilvl w:val="2"/>
          <w:numId w:val="4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Record amount in anesthetic log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Check reflexes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Cervically dislocate and remove brain as quickly as possible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Cut brain into hemispheres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One hemisphere is immediately placed into a 2mL screw cap eppendorf tube and dropped into LN2 (Flash frozen)</w:t>
      </w:r>
    </w:p>
    <w:p>
      <w:pPr>
        <w:pStyle w:val="Normal"/>
        <w:numPr>
          <w:ilvl w:val="2"/>
          <w:numId w:val="4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sample can be banked and used in future experiments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The other hemisphere is further dissected leaving behind only forebrain and mostly cortex</w:t>
      </w:r>
    </w:p>
    <w:p>
      <w:pPr>
        <w:pStyle w:val="Normal"/>
        <w:numPr>
          <w:ilvl w:val="2"/>
          <w:numId w:val="4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sample is also placed into a 2mL screw cap tube and flash frozen</w:t>
      </w:r>
    </w:p>
    <w:p>
      <w:pPr>
        <w:pStyle w:val="Normal"/>
        <w:tabs>
          <w:tab w:val="left" w:pos="2160"/>
        </w:tabs>
        <w:rPr>
          <w:sz w:val="24"/>
          <w:szCs w:val="24"/>
        </w:rPr>
      </w:pPr>
    </w:p>
    <w:p>
      <w:pPr>
        <w:pStyle w:val="Normal"/>
        <w:bidi w:val="0"/>
        <w:rPr>
          <w:b w:val="1"/>
          <w:bCs w:val="1"/>
          <w:color w:val="000000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Sample Preparation (Done in Cold Room):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 forebrain / cortical sample into a mortar containing LN2 and use the pestal to grind the tissue until a fine powder remains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Once the LN2 is finished vaporizing, use a spatula to collect the powdered sample and place in an epi tube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Reconstitute the sample in 600uL of </w:t>
      </w:r>
      <w:r>
        <w:rPr>
          <w:rtl w:val="0"/>
          <w:lang w:val="en-US"/>
        </w:rPr>
        <w:t>ddH</w:t>
      </w:r>
      <w:r>
        <w:rPr>
          <w:sz w:val="22"/>
          <w:szCs w:val="22"/>
          <w:vertAlign w:val="subscript"/>
          <w:rtl w:val="0"/>
          <w:lang w:val="en-US"/>
        </w:rPr>
        <w:t>2</w:t>
      </w:r>
      <w:r>
        <w:rPr>
          <w:rtl w:val="0"/>
          <w:lang w:val="en-US"/>
        </w:rPr>
        <w:t>O</w:t>
      </w:r>
    </w:p>
    <w:p>
      <w:pPr>
        <w:pStyle w:val="Normal"/>
        <w:numPr>
          <w:ilvl w:val="1"/>
          <w:numId w:val="4"/>
        </w:numPr>
        <w:tabs>
          <w:tab w:val="left" w:pos="720"/>
        </w:tabs>
        <w:ind w:left="1440"/>
        <w:rPr>
          <w:position w:val="0"/>
          <w:sz w:val="24"/>
          <w:szCs w:val="24"/>
        </w:rPr>
      </w:pPr>
      <w:r>
        <w:rPr>
          <w:rtl w:val="0"/>
          <w:lang w:val="en-US"/>
        </w:rPr>
        <w:t>This is enough for triplicate undiluted samples (100uL each), 1:2 diluted samples in triplicate (50uL) each AND leftovers so that a protein assay can be carried out so ATP levels can be reported as _____ / mg...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Sonicate the samples at 5 watts for 10 seconds</w:t>
      </w:r>
    </w:p>
    <w:p>
      <w:pPr>
        <w:pStyle w:val="Normal"/>
        <w:bidi w:val="0"/>
        <w:rPr>
          <w:b w:val="1"/>
          <w:bCs w:val="1"/>
          <w:color w:val="000000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ATP Assay: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Immediately add the appropriate amount of brain lysate to the 96 well plate (in triplicate)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No dilution = add 100uL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1:2 dilution = add 50uL of sample to the wells already containing 50uL of </w:t>
      </w:r>
      <w:r>
        <w:rPr>
          <w:rtl w:val="0"/>
          <w:lang w:val="en-US"/>
        </w:rPr>
        <w:t>ddH</w:t>
      </w:r>
      <w:r>
        <w:rPr>
          <w:sz w:val="22"/>
          <w:szCs w:val="22"/>
          <w:vertAlign w:val="subscript"/>
          <w:rtl w:val="0"/>
          <w:lang w:val="en-US"/>
        </w:rPr>
        <w:t>2</w:t>
      </w:r>
      <w:r>
        <w:rPr>
          <w:rtl w:val="0"/>
          <w:lang w:val="en-US"/>
        </w:rPr>
        <w:t>O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Once brain sample have been added, add 100uL (in triplicate) of the ATP standards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Mix the reagents in the plate by tapping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Incubate the plate for 10 minutes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Note: For optimal enzyme action, carry this 10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incubation out at room temperature in a dark place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Following incubation, read luminescence in the plate reader with a top down read and the following parameters: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Gain = 150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Integration time = 1000ms</w:t>
      </w:r>
    </w:p>
    <w:p>
      <w:pPr>
        <w:pStyle w:val="Normal"/>
        <w:tabs>
          <w:tab w:val="left" w:pos="1440"/>
        </w:tabs>
        <w:rPr>
          <w:sz w:val="24"/>
          <w:szCs w:val="24"/>
        </w:rPr>
      </w:pPr>
    </w:p>
    <w:p>
      <w:pPr>
        <w:pStyle w:val="Normal"/>
        <w:ind w:left="360" w:firstLine="0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ADP Assay: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While ATP is being assessed in plate reader, prepare an ADP Master mix</w:t>
      </w:r>
    </w:p>
    <w:p>
      <w:pPr>
        <w:pStyle w:val="Normal"/>
        <w:numPr>
          <w:ilvl w:val="1"/>
          <w:numId w:val="4"/>
        </w:numPr>
        <w:ind w:left="14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For each well of a 96 well plate you will need:</w:t>
      </w:r>
    </w:p>
    <w:p>
      <w:pPr>
        <w:pStyle w:val="Normal"/>
        <w:numPr>
          <w:ilvl w:val="2"/>
          <w:numId w:val="4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12uL ddH</w:t>
      </w:r>
      <w:r>
        <w:rPr>
          <w:sz w:val="24"/>
          <w:szCs w:val="24"/>
          <w:vertAlign w:val="subscript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O</w:t>
      </w:r>
    </w:p>
    <w:p>
      <w:pPr>
        <w:pStyle w:val="Normal"/>
        <w:numPr>
          <w:ilvl w:val="2"/>
          <w:numId w:val="4"/>
        </w:numPr>
        <w:ind w:left="21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1uL of ADP enzyme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Once ATP data is saved, add 10uL per well of the ADP master mix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Tap the plate to mix reagents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Incubate for 10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at room temperature</w:t>
      </w:r>
    </w:p>
    <w:p>
      <w:pPr>
        <w:pStyle w:val="Normal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Read luminescence on plate reader with the exact same parameters as used for the ATP analysis</w:t>
      </w:r>
    </w:p>
    <w:sectPr>
      <w:headerReference w:type="default" r:id="rId4"/>
      <w:footerReference w:type="default" r:id="rId5"/>
      <w:pgSz w:w="12240" w:h="15840" w:orient="portrait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">
    <w:charset w:val="00"/>
    <w:family w:val="roman"/>
    <w:pitch w:val="default"/>
  </w:font>
  <w:font w:name="Garamon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sz w:val="24"/>
        <w:szCs w:val="24"/>
      </w:rPr>
    </w:pPr>
    <w:r>
      <w:rPr>
        <w:sz w:val="24"/>
        <w:szCs w:val="24"/>
        <w:rtl w:val="0"/>
        <w:lang w:val="en-US"/>
      </w:rPr>
      <w:t>AMP</w:t>
    </w:r>
  </w:p>
  <w:p>
    <w:pPr>
      <w:pStyle w:val="Header"/>
      <w:jc w:val="right"/>
      <w:rPr>
        <w:sz w:val="24"/>
        <w:szCs w:val="24"/>
      </w:rPr>
    </w:pPr>
    <w:r>
      <w:rPr>
        <w:sz w:val="24"/>
        <w:szCs w:val="24"/>
        <w:rtl w:val="0"/>
        <w:lang w:val="en-US"/>
      </w:rPr>
      <w:t>McLaughlin Lab</w:t>
    </w:r>
  </w:p>
  <w:p>
    <w:pPr>
      <w:pStyle w:val="Header"/>
      <w:jc w:val="right"/>
    </w:pPr>
    <w:r>
      <w:rPr>
        <w:sz w:val="24"/>
        <w:szCs w:val="24"/>
        <w:rtl w:val="0"/>
        <w:lang w:val="en-US"/>
      </w:rPr>
      <w:t>6/14/2012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1">
    <w:name w:val="List 1"/>
    <w:next w:val="List 1"/>
    <w:pPr>
      <w:numPr>
        <w:numId w:val="1"/>
      </w:numPr>
    </w:pPr>
  </w:style>
  <w:style w:type="numbering" w:styleId="List 2">
    <w:name w:val="List 2"/>
    <w:next w:val="List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