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869E" w14:textId="4DC4FDCD" w:rsidR="00DF344B" w:rsidRPr="004D2E5D" w:rsidRDefault="00DF344B" w:rsidP="0046180E">
      <w:pPr>
        <w:jc w:val="both"/>
        <w:rPr>
          <w:b/>
        </w:rPr>
      </w:pPr>
      <w:bookmarkStart w:id="0" w:name="_GoBack"/>
      <w:bookmarkEnd w:id="0"/>
      <w:r w:rsidRPr="00DF344B">
        <w:rPr>
          <w:b/>
        </w:rPr>
        <w:t>Hypoxia Red Staining</w:t>
      </w:r>
    </w:p>
    <w:p w14:paraId="58CA4A97" w14:textId="77777777" w:rsidR="00DF344B" w:rsidRPr="00DF344B" w:rsidRDefault="00DF344B" w:rsidP="0046180E">
      <w:pPr>
        <w:jc w:val="both"/>
        <w:rPr>
          <w:b/>
        </w:rPr>
      </w:pPr>
    </w:p>
    <w:p w14:paraId="639C71F9" w14:textId="314380AF" w:rsidR="00DF344B" w:rsidRDefault="004D2E5D" w:rsidP="0046180E">
      <w:pPr>
        <w:jc w:val="both"/>
        <w:rPr>
          <w:b/>
        </w:rPr>
      </w:pPr>
      <w:r>
        <w:rPr>
          <w:b/>
        </w:rPr>
        <w:t>Reagent</w:t>
      </w:r>
      <w:r w:rsidR="00DF344B" w:rsidRPr="00DF344B">
        <w:rPr>
          <w:b/>
        </w:rPr>
        <w:t>s Used:</w:t>
      </w:r>
    </w:p>
    <w:p w14:paraId="05AC913F" w14:textId="77777777" w:rsidR="004D2E5D" w:rsidRPr="00DF344B" w:rsidRDefault="004D2E5D" w:rsidP="0046180E">
      <w:pPr>
        <w:jc w:val="both"/>
        <w:rPr>
          <w:b/>
        </w:rPr>
      </w:pPr>
    </w:p>
    <w:tbl>
      <w:tblPr>
        <w:tblStyle w:val="TableGrid"/>
        <w:tblW w:w="0" w:type="auto"/>
        <w:jc w:val="center"/>
        <w:tblLook w:val="04A0" w:firstRow="1" w:lastRow="0" w:firstColumn="1" w:lastColumn="0" w:noHBand="0" w:noVBand="1"/>
      </w:tblPr>
      <w:tblGrid>
        <w:gridCol w:w="2214"/>
        <w:gridCol w:w="2214"/>
        <w:gridCol w:w="2214"/>
        <w:gridCol w:w="2214"/>
      </w:tblGrid>
      <w:tr w:rsidR="00DF344B" w:rsidRPr="004D2E5D" w14:paraId="6D9EB738" w14:textId="77777777" w:rsidTr="004D2E5D">
        <w:trPr>
          <w:jc w:val="center"/>
        </w:trPr>
        <w:tc>
          <w:tcPr>
            <w:tcW w:w="2214" w:type="dxa"/>
          </w:tcPr>
          <w:p w14:paraId="03CD459D" w14:textId="77777777" w:rsidR="00DF344B" w:rsidRPr="004D2E5D" w:rsidRDefault="00DF344B" w:rsidP="0046180E">
            <w:pPr>
              <w:jc w:val="both"/>
              <w:rPr>
                <w:b/>
              </w:rPr>
            </w:pPr>
            <w:r w:rsidRPr="004D2E5D">
              <w:rPr>
                <w:b/>
              </w:rPr>
              <w:t>Name</w:t>
            </w:r>
          </w:p>
        </w:tc>
        <w:tc>
          <w:tcPr>
            <w:tcW w:w="2214" w:type="dxa"/>
          </w:tcPr>
          <w:p w14:paraId="74F43794" w14:textId="77777777" w:rsidR="00DF344B" w:rsidRPr="004D2E5D" w:rsidRDefault="00DF344B" w:rsidP="0046180E">
            <w:pPr>
              <w:jc w:val="both"/>
              <w:rPr>
                <w:b/>
              </w:rPr>
            </w:pPr>
            <w:r w:rsidRPr="004D2E5D">
              <w:rPr>
                <w:b/>
              </w:rPr>
              <w:t>Catalog</w:t>
            </w:r>
          </w:p>
        </w:tc>
        <w:tc>
          <w:tcPr>
            <w:tcW w:w="2214" w:type="dxa"/>
          </w:tcPr>
          <w:p w14:paraId="580514A9" w14:textId="77777777" w:rsidR="00DF344B" w:rsidRPr="004D2E5D" w:rsidRDefault="00DF344B" w:rsidP="0046180E">
            <w:pPr>
              <w:jc w:val="both"/>
              <w:rPr>
                <w:b/>
              </w:rPr>
            </w:pPr>
            <w:r w:rsidRPr="004D2E5D">
              <w:rPr>
                <w:b/>
              </w:rPr>
              <w:t>Lot</w:t>
            </w:r>
          </w:p>
        </w:tc>
        <w:tc>
          <w:tcPr>
            <w:tcW w:w="2214" w:type="dxa"/>
          </w:tcPr>
          <w:p w14:paraId="55F686D0" w14:textId="77777777" w:rsidR="00DF344B" w:rsidRPr="004D2E5D" w:rsidRDefault="00DF344B" w:rsidP="0046180E">
            <w:pPr>
              <w:jc w:val="both"/>
              <w:rPr>
                <w:b/>
              </w:rPr>
            </w:pPr>
            <w:r w:rsidRPr="004D2E5D">
              <w:rPr>
                <w:b/>
              </w:rPr>
              <w:t>Date Made</w:t>
            </w:r>
          </w:p>
        </w:tc>
      </w:tr>
      <w:tr w:rsidR="00DF344B" w14:paraId="59FBBDAE" w14:textId="77777777" w:rsidTr="004D2E5D">
        <w:trPr>
          <w:jc w:val="center"/>
        </w:trPr>
        <w:tc>
          <w:tcPr>
            <w:tcW w:w="2214" w:type="dxa"/>
          </w:tcPr>
          <w:p w14:paraId="7CE7E17E" w14:textId="77777777" w:rsidR="00DF344B" w:rsidRDefault="00DF344B" w:rsidP="0046180E">
            <w:pPr>
              <w:jc w:val="both"/>
            </w:pPr>
            <w:proofErr w:type="spellStart"/>
            <w:r>
              <w:t>Cyto</w:t>
            </w:r>
            <w:proofErr w:type="spellEnd"/>
            <w:r>
              <w:t>-ID Hypoxia</w:t>
            </w:r>
          </w:p>
        </w:tc>
        <w:tc>
          <w:tcPr>
            <w:tcW w:w="2214" w:type="dxa"/>
          </w:tcPr>
          <w:p w14:paraId="66C28C3E" w14:textId="21120A41" w:rsidR="00DF344B" w:rsidRDefault="004D2E5D" w:rsidP="0046180E">
            <w:pPr>
              <w:jc w:val="both"/>
            </w:pPr>
            <w:r>
              <w:t>ENZ</w:t>
            </w:r>
            <w:r w:rsidR="00DF344B">
              <w:t>-51042-0125</w:t>
            </w:r>
          </w:p>
        </w:tc>
        <w:tc>
          <w:tcPr>
            <w:tcW w:w="2214" w:type="dxa"/>
          </w:tcPr>
          <w:p w14:paraId="508B0EE6" w14:textId="77777777" w:rsidR="00DF344B" w:rsidRDefault="00DF344B" w:rsidP="0046180E">
            <w:pPr>
              <w:jc w:val="both"/>
            </w:pPr>
            <w:r>
              <w:t>05051446</w:t>
            </w:r>
          </w:p>
        </w:tc>
        <w:tc>
          <w:tcPr>
            <w:tcW w:w="2214" w:type="dxa"/>
          </w:tcPr>
          <w:p w14:paraId="01C7685F" w14:textId="77777777" w:rsidR="00DF344B" w:rsidRDefault="00DF344B" w:rsidP="0046180E">
            <w:pPr>
              <w:jc w:val="both"/>
            </w:pPr>
          </w:p>
        </w:tc>
      </w:tr>
      <w:tr w:rsidR="00DF344B" w14:paraId="4459215E" w14:textId="77777777" w:rsidTr="004D2E5D">
        <w:trPr>
          <w:jc w:val="center"/>
        </w:trPr>
        <w:tc>
          <w:tcPr>
            <w:tcW w:w="2214" w:type="dxa"/>
          </w:tcPr>
          <w:p w14:paraId="29A8ACC2" w14:textId="77777777" w:rsidR="00DF344B" w:rsidRDefault="00DF344B" w:rsidP="0046180E">
            <w:pPr>
              <w:jc w:val="both"/>
            </w:pPr>
            <w:r>
              <w:t>HEPES</w:t>
            </w:r>
          </w:p>
        </w:tc>
        <w:tc>
          <w:tcPr>
            <w:tcW w:w="2214" w:type="dxa"/>
          </w:tcPr>
          <w:p w14:paraId="46F85236" w14:textId="77777777" w:rsidR="00DF344B" w:rsidRDefault="00DF344B" w:rsidP="0046180E">
            <w:pPr>
              <w:jc w:val="both"/>
            </w:pPr>
            <w:r>
              <w:t>H0887</w:t>
            </w:r>
          </w:p>
        </w:tc>
        <w:tc>
          <w:tcPr>
            <w:tcW w:w="2214" w:type="dxa"/>
          </w:tcPr>
          <w:p w14:paraId="3F76C340" w14:textId="77777777" w:rsidR="00DF344B" w:rsidRDefault="00DF344B" w:rsidP="0046180E">
            <w:pPr>
              <w:jc w:val="both"/>
            </w:pPr>
            <w:r>
              <w:t>RNBC9425</w:t>
            </w:r>
          </w:p>
        </w:tc>
        <w:tc>
          <w:tcPr>
            <w:tcW w:w="2214" w:type="dxa"/>
          </w:tcPr>
          <w:p w14:paraId="4A2D3BBA" w14:textId="77777777" w:rsidR="00DF344B" w:rsidRDefault="00DF344B" w:rsidP="0046180E">
            <w:pPr>
              <w:jc w:val="both"/>
            </w:pPr>
          </w:p>
        </w:tc>
      </w:tr>
      <w:tr w:rsidR="00DF344B" w14:paraId="2864E902" w14:textId="77777777" w:rsidTr="004D2E5D">
        <w:trPr>
          <w:jc w:val="center"/>
        </w:trPr>
        <w:tc>
          <w:tcPr>
            <w:tcW w:w="2214" w:type="dxa"/>
          </w:tcPr>
          <w:p w14:paraId="2A61E1FA" w14:textId="77777777" w:rsidR="00DF344B" w:rsidRDefault="00DF344B" w:rsidP="0046180E">
            <w:pPr>
              <w:jc w:val="both"/>
            </w:pPr>
            <w:r>
              <w:t>MEM (1X)</w:t>
            </w:r>
          </w:p>
        </w:tc>
        <w:tc>
          <w:tcPr>
            <w:tcW w:w="2214" w:type="dxa"/>
          </w:tcPr>
          <w:p w14:paraId="0826EA99" w14:textId="77777777" w:rsidR="00DF344B" w:rsidRDefault="00DF344B" w:rsidP="0046180E">
            <w:pPr>
              <w:jc w:val="both"/>
            </w:pPr>
            <w:r>
              <w:t>512000-038</w:t>
            </w:r>
          </w:p>
        </w:tc>
        <w:tc>
          <w:tcPr>
            <w:tcW w:w="2214" w:type="dxa"/>
          </w:tcPr>
          <w:p w14:paraId="58029A97" w14:textId="77777777" w:rsidR="00DF344B" w:rsidRDefault="00DF344B" w:rsidP="0046180E">
            <w:pPr>
              <w:jc w:val="both"/>
            </w:pPr>
            <w:r>
              <w:t>1517552</w:t>
            </w:r>
          </w:p>
        </w:tc>
        <w:tc>
          <w:tcPr>
            <w:tcW w:w="2214" w:type="dxa"/>
          </w:tcPr>
          <w:p w14:paraId="76F176BB" w14:textId="77777777" w:rsidR="00DF344B" w:rsidRDefault="00DF344B" w:rsidP="0046180E">
            <w:pPr>
              <w:jc w:val="both"/>
            </w:pPr>
          </w:p>
        </w:tc>
      </w:tr>
      <w:tr w:rsidR="00DF344B" w14:paraId="2F10BA46" w14:textId="77777777" w:rsidTr="004D2E5D">
        <w:trPr>
          <w:jc w:val="center"/>
        </w:trPr>
        <w:tc>
          <w:tcPr>
            <w:tcW w:w="2214" w:type="dxa"/>
          </w:tcPr>
          <w:p w14:paraId="424BBBFB" w14:textId="748D4B5F" w:rsidR="00DF344B" w:rsidRDefault="00DF344B" w:rsidP="0046180E">
            <w:pPr>
              <w:jc w:val="both"/>
            </w:pPr>
            <w:r>
              <w:t>OGD Media</w:t>
            </w:r>
          </w:p>
        </w:tc>
        <w:tc>
          <w:tcPr>
            <w:tcW w:w="2214" w:type="dxa"/>
          </w:tcPr>
          <w:p w14:paraId="6E77663F" w14:textId="77777777" w:rsidR="00DF344B" w:rsidRDefault="00DF344B" w:rsidP="0046180E">
            <w:pPr>
              <w:jc w:val="both"/>
            </w:pPr>
          </w:p>
        </w:tc>
        <w:tc>
          <w:tcPr>
            <w:tcW w:w="2214" w:type="dxa"/>
          </w:tcPr>
          <w:p w14:paraId="759A6576" w14:textId="77777777" w:rsidR="00DF344B" w:rsidRDefault="00DF344B" w:rsidP="0046180E">
            <w:pPr>
              <w:jc w:val="both"/>
            </w:pPr>
          </w:p>
        </w:tc>
        <w:tc>
          <w:tcPr>
            <w:tcW w:w="2214" w:type="dxa"/>
          </w:tcPr>
          <w:p w14:paraId="3F335355" w14:textId="77777777" w:rsidR="00DF344B" w:rsidRDefault="00DF344B" w:rsidP="0046180E">
            <w:pPr>
              <w:jc w:val="both"/>
            </w:pPr>
            <w:r>
              <w:t>11.19.14</w:t>
            </w:r>
          </w:p>
        </w:tc>
      </w:tr>
      <w:tr w:rsidR="00DF344B" w14:paraId="63E47264" w14:textId="77777777" w:rsidTr="004D2E5D">
        <w:trPr>
          <w:jc w:val="center"/>
        </w:trPr>
        <w:tc>
          <w:tcPr>
            <w:tcW w:w="2214" w:type="dxa"/>
          </w:tcPr>
          <w:p w14:paraId="2FC6D377" w14:textId="77777777" w:rsidR="00DF344B" w:rsidRDefault="00DF344B" w:rsidP="0046180E">
            <w:pPr>
              <w:jc w:val="both"/>
            </w:pPr>
            <w:r>
              <w:t>N2</w:t>
            </w:r>
          </w:p>
        </w:tc>
        <w:tc>
          <w:tcPr>
            <w:tcW w:w="2214" w:type="dxa"/>
          </w:tcPr>
          <w:p w14:paraId="79AB535E" w14:textId="77777777" w:rsidR="00DF344B" w:rsidRDefault="00DF344B" w:rsidP="0046180E">
            <w:pPr>
              <w:jc w:val="both"/>
            </w:pPr>
            <w:r>
              <w:t>17502-048</w:t>
            </w:r>
          </w:p>
        </w:tc>
        <w:tc>
          <w:tcPr>
            <w:tcW w:w="2214" w:type="dxa"/>
          </w:tcPr>
          <w:p w14:paraId="3CAA46DE" w14:textId="77777777" w:rsidR="00DF344B" w:rsidRDefault="00DF344B" w:rsidP="0046180E">
            <w:pPr>
              <w:jc w:val="both"/>
            </w:pPr>
            <w:r>
              <w:t>1621829</w:t>
            </w:r>
          </w:p>
        </w:tc>
        <w:tc>
          <w:tcPr>
            <w:tcW w:w="2214" w:type="dxa"/>
          </w:tcPr>
          <w:p w14:paraId="6B6D8717" w14:textId="77777777" w:rsidR="00DF344B" w:rsidRDefault="00DF344B" w:rsidP="0046180E">
            <w:pPr>
              <w:jc w:val="both"/>
            </w:pPr>
          </w:p>
        </w:tc>
      </w:tr>
      <w:tr w:rsidR="00DF344B" w14:paraId="3407F412" w14:textId="77777777" w:rsidTr="004D2E5D">
        <w:trPr>
          <w:jc w:val="center"/>
        </w:trPr>
        <w:tc>
          <w:tcPr>
            <w:tcW w:w="2214" w:type="dxa"/>
          </w:tcPr>
          <w:p w14:paraId="4E055C0A" w14:textId="273C2909" w:rsidR="00DF344B" w:rsidRDefault="00DF344B" w:rsidP="0046180E">
            <w:pPr>
              <w:jc w:val="both"/>
            </w:pPr>
            <w:r>
              <w:t>HBSS</w:t>
            </w:r>
          </w:p>
        </w:tc>
        <w:tc>
          <w:tcPr>
            <w:tcW w:w="2214" w:type="dxa"/>
          </w:tcPr>
          <w:p w14:paraId="3EA8D32F" w14:textId="77777777" w:rsidR="00DF344B" w:rsidRDefault="00DF344B" w:rsidP="0046180E">
            <w:pPr>
              <w:jc w:val="both"/>
            </w:pPr>
          </w:p>
        </w:tc>
        <w:tc>
          <w:tcPr>
            <w:tcW w:w="2214" w:type="dxa"/>
          </w:tcPr>
          <w:p w14:paraId="6DBA8CF6" w14:textId="77777777" w:rsidR="00DF344B" w:rsidRDefault="00DF344B" w:rsidP="0046180E">
            <w:pPr>
              <w:jc w:val="both"/>
            </w:pPr>
          </w:p>
        </w:tc>
        <w:tc>
          <w:tcPr>
            <w:tcW w:w="2214" w:type="dxa"/>
          </w:tcPr>
          <w:p w14:paraId="28BE9FDF" w14:textId="77777777" w:rsidR="00DF344B" w:rsidRDefault="00DF344B" w:rsidP="0046180E">
            <w:pPr>
              <w:jc w:val="both"/>
            </w:pPr>
            <w:r>
              <w:t>1.7.15</w:t>
            </w:r>
          </w:p>
        </w:tc>
      </w:tr>
    </w:tbl>
    <w:p w14:paraId="5E6FD6CA" w14:textId="77777777" w:rsidR="004D2E5D" w:rsidRDefault="004D2E5D" w:rsidP="0046180E">
      <w:pPr>
        <w:jc w:val="both"/>
      </w:pPr>
    </w:p>
    <w:p w14:paraId="038FE88A" w14:textId="77777777" w:rsidR="004D2E5D" w:rsidRDefault="004D2E5D" w:rsidP="0046180E">
      <w:pPr>
        <w:jc w:val="both"/>
      </w:pPr>
    </w:p>
    <w:p w14:paraId="02F775E8" w14:textId="43458E45" w:rsidR="00DF344B" w:rsidRPr="00DF344B" w:rsidRDefault="004D2E5D" w:rsidP="0046180E">
      <w:pPr>
        <w:jc w:val="both"/>
        <w:rPr>
          <w:b/>
        </w:rPr>
      </w:pPr>
      <w:r>
        <w:rPr>
          <w:b/>
        </w:rPr>
        <w:t>Procedure:</w:t>
      </w:r>
    </w:p>
    <w:p w14:paraId="6A72FD53" w14:textId="77777777" w:rsidR="00DF344B" w:rsidRPr="00795F85" w:rsidRDefault="00DF344B" w:rsidP="0046180E">
      <w:pPr>
        <w:jc w:val="both"/>
        <w:rPr>
          <w:i/>
        </w:rPr>
      </w:pPr>
      <w:r w:rsidRPr="00795F85">
        <w:rPr>
          <w:i/>
        </w:rPr>
        <w:t>Dye Incubation</w:t>
      </w:r>
    </w:p>
    <w:p w14:paraId="586D5443" w14:textId="40CF6455" w:rsidR="00DF344B" w:rsidRDefault="00DF344B" w:rsidP="0046180E">
      <w:pPr>
        <w:pStyle w:val="ListParagraph"/>
        <w:numPr>
          <w:ilvl w:val="0"/>
          <w:numId w:val="1"/>
        </w:numPr>
        <w:jc w:val="both"/>
      </w:pPr>
      <w:r>
        <w:t xml:space="preserve">Make up </w:t>
      </w:r>
      <w:r w:rsidR="004D2E5D">
        <w:t xml:space="preserve">100mL of </w:t>
      </w:r>
      <w:r>
        <w:t>MEM/BSA/HEPES/N2 media</w:t>
      </w:r>
    </w:p>
    <w:p w14:paraId="2A5FA338" w14:textId="40C99507" w:rsidR="000C5502" w:rsidRDefault="000C5502" w:rsidP="0046180E">
      <w:pPr>
        <w:pStyle w:val="ListParagraph"/>
        <w:numPr>
          <w:ilvl w:val="1"/>
          <w:numId w:val="1"/>
        </w:numPr>
        <w:jc w:val="both"/>
      </w:pPr>
      <w:r>
        <w:t>MEM</w:t>
      </w:r>
      <w:r>
        <w:tab/>
      </w:r>
      <w:r>
        <w:tab/>
      </w:r>
      <w:r w:rsidR="004D2E5D">
        <w:tab/>
      </w:r>
      <w:r w:rsidR="004D2E5D">
        <w:tab/>
      </w:r>
      <w:r>
        <w:t>95.5 mL</w:t>
      </w:r>
    </w:p>
    <w:p w14:paraId="117C96A7" w14:textId="1066F2EE" w:rsidR="000C5502" w:rsidRDefault="000C5502" w:rsidP="0046180E">
      <w:pPr>
        <w:pStyle w:val="ListParagraph"/>
        <w:numPr>
          <w:ilvl w:val="1"/>
          <w:numId w:val="1"/>
        </w:numPr>
        <w:jc w:val="both"/>
      </w:pPr>
      <w:r>
        <w:t>HEPES</w:t>
      </w:r>
      <w:r>
        <w:tab/>
      </w:r>
      <w:r>
        <w:tab/>
      </w:r>
      <w:r w:rsidR="004D2E5D">
        <w:tab/>
      </w:r>
      <w:r w:rsidR="004D2E5D">
        <w:tab/>
      </w:r>
      <w:r>
        <w:t>2.5 mL</w:t>
      </w:r>
    </w:p>
    <w:p w14:paraId="53A6F6AE" w14:textId="58824F94" w:rsidR="000C5502" w:rsidRDefault="000C5502" w:rsidP="0046180E">
      <w:pPr>
        <w:pStyle w:val="ListParagraph"/>
        <w:numPr>
          <w:ilvl w:val="1"/>
          <w:numId w:val="1"/>
        </w:numPr>
        <w:jc w:val="both"/>
      </w:pPr>
      <w:r>
        <w:t>N2</w:t>
      </w:r>
      <w:r>
        <w:tab/>
      </w:r>
      <w:r>
        <w:tab/>
      </w:r>
      <w:r w:rsidR="004D2E5D">
        <w:tab/>
      </w:r>
      <w:r w:rsidR="004D2E5D">
        <w:tab/>
      </w:r>
      <w:r>
        <w:t>2 mL</w:t>
      </w:r>
    </w:p>
    <w:p w14:paraId="3F1B1519" w14:textId="1A33C6AC" w:rsidR="000C5502" w:rsidRDefault="000C5502" w:rsidP="0046180E">
      <w:pPr>
        <w:pStyle w:val="ListParagraph"/>
        <w:numPr>
          <w:ilvl w:val="1"/>
          <w:numId w:val="1"/>
        </w:numPr>
        <w:jc w:val="both"/>
      </w:pPr>
      <w:r>
        <w:t>BSA</w:t>
      </w:r>
      <w:r>
        <w:tab/>
      </w:r>
      <w:r>
        <w:tab/>
      </w:r>
      <w:r w:rsidR="004D2E5D">
        <w:tab/>
      </w:r>
      <w:r w:rsidR="004D2E5D">
        <w:tab/>
      </w:r>
      <w:r>
        <w:t>10mg</w:t>
      </w:r>
    </w:p>
    <w:p w14:paraId="19DA0372" w14:textId="62808C8B" w:rsidR="000C5502" w:rsidRDefault="000C5502" w:rsidP="0046180E">
      <w:pPr>
        <w:pStyle w:val="ListParagraph"/>
        <w:numPr>
          <w:ilvl w:val="2"/>
          <w:numId w:val="1"/>
        </w:numPr>
        <w:jc w:val="both"/>
      </w:pPr>
      <w:r>
        <w:t>Sterile Filter</w:t>
      </w:r>
    </w:p>
    <w:p w14:paraId="2364DC49" w14:textId="77777777" w:rsidR="000C5502" w:rsidRDefault="000C5502" w:rsidP="0046180E">
      <w:pPr>
        <w:pStyle w:val="ListParagraph"/>
        <w:ind w:left="2160"/>
        <w:jc w:val="both"/>
      </w:pPr>
    </w:p>
    <w:p w14:paraId="1A631458" w14:textId="4344C080" w:rsidR="000C5502" w:rsidRDefault="000C5502" w:rsidP="0046180E">
      <w:pPr>
        <w:pStyle w:val="ListParagraph"/>
        <w:numPr>
          <w:ilvl w:val="0"/>
          <w:numId w:val="1"/>
        </w:numPr>
        <w:jc w:val="both"/>
      </w:pPr>
      <w:r>
        <w:t xml:space="preserve">Make up </w:t>
      </w:r>
      <w:r w:rsidR="004D2E5D">
        <w:t xml:space="preserve">50mL of </w:t>
      </w:r>
      <w:r>
        <w:t>HBSS/BSA/N2</w:t>
      </w:r>
    </w:p>
    <w:p w14:paraId="66103FCB" w14:textId="497FB4B8" w:rsidR="000C5502" w:rsidRDefault="004D2E5D" w:rsidP="0046180E">
      <w:pPr>
        <w:pStyle w:val="ListParagraph"/>
        <w:numPr>
          <w:ilvl w:val="1"/>
          <w:numId w:val="1"/>
        </w:numPr>
        <w:jc w:val="both"/>
      </w:pPr>
      <w:r>
        <w:t xml:space="preserve">HBSS/BSA aliquots stored at </w:t>
      </w:r>
      <w:r w:rsidR="000C5502">
        <w:t>-20</w:t>
      </w:r>
      <w:r w:rsidRPr="004D2E5D">
        <w:rPr>
          <w:vertAlign w:val="superscript"/>
        </w:rPr>
        <w:t>o</w:t>
      </w:r>
      <w:r w:rsidR="000C5502">
        <w:t xml:space="preserve">C </w:t>
      </w:r>
    </w:p>
    <w:p w14:paraId="0D151DDA" w14:textId="4F596929" w:rsidR="000C5502" w:rsidRDefault="000C5502" w:rsidP="0046180E">
      <w:pPr>
        <w:pStyle w:val="ListParagraph"/>
        <w:numPr>
          <w:ilvl w:val="2"/>
          <w:numId w:val="1"/>
        </w:numPr>
        <w:jc w:val="both"/>
      </w:pPr>
      <w:r>
        <w:t>HBSS/BSA</w:t>
      </w:r>
      <w:r>
        <w:tab/>
      </w:r>
      <w:r w:rsidR="004D2E5D">
        <w:tab/>
      </w:r>
      <w:r>
        <w:t>49 mL</w:t>
      </w:r>
    </w:p>
    <w:p w14:paraId="34D4CBB1" w14:textId="342417F9" w:rsidR="000C5502" w:rsidRDefault="000C5502" w:rsidP="0046180E">
      <w:pPr>
        <w:pStyle w:val="ListParagraph"/>
        <w:numPr>
          <w:ilvl w:val="2"/>
          <w:numId w:val="1"/>
        </w:numPr>
        <w:jc w:val="both"/>
      </w:pPr>
      <w:r>
        <w:t>N2</w:t>
      </w:r>
      <w:r>
        <w:tab/>
      </w:r>
      <w:r>
        <w:tab/>
      </w:r>
      <w:r w:rsidR="004D2E5D">
        <w:tab/>
      </w:r>
      <w:r>
        <w:t>1 mL</w:t>
      </w:r>
    </w:p>
    <w:p w14:paraId="5B057493" w14:textId="320D7F6A" w:rsidR="000C5502" w:rsidRDefault="000C5502" w:rsidP="0046180E">
      <w:pPr>
        <w:pStyle w:val="ListParagraph"/>
        <w:numPr>
          <w:ilvl w:val="3"/>
          <w:numId w:val="1"/>
        </w:numPr>
        <w:jc w:val="both"/>
      </w:pPr>
      <w:r>
        <w:t>Sterile Filter</w:t>
      </w:r>
    </w:p>
    <w:p w14:paraId="6F63A1FA" w14:textId="77777777" w:rsidR="000C5502" w:rsidRDefault="000C5502" w:rsidP="0046180E">
      <w:pPr>
        <w:pStyle w:val="ListParagraph"/>
        <w:ind w:left="2160"/>
        <w:jc w:val="both"/>
      </w:pPr>
    </w:p>
    <w:p w14:paraId="464BC106" w14:textId="6EED5C27" w:rsidR="00DF344B" w:rsidRDefault="004D2E5D" w:rsidP="0046180E">
      <w:pPr>
        <w:pStyle w:val="ListParagraph"/>
        <w:numPr>
          <w:ilvl w:val="0"/>
          <w:numId w:val="1"/>
        </w:numPr>
        <w:jc w:val="both"/>
      </w:pPr>
      <w:r>
        <w:t xml:space="preserve">Dilute original 1mM </w:t>
      </w:r>
      <w:r w:rsidR="004A4D0D">
        <w:t xml:space="preserve">vial of </w:t>
      </w:r>
      <w:proofErr w:type="spellStart"/>
      <w:r>
        <w:t>Cyto</w:t>
      </w:r>
      <w:proofErr w:type="spellEnd"/>
      <w:r>
        <w:t xml:space="preserve">-ID </w:t>
      </w:r>
      <w:r w:rsidR="004A4D0D">
        <w:t xml:space="preserve">to 10µM </w:t>
      </w:r>
      <w:r w:rsidR="000C5502">
        <w:t>in HBSS</w:t>
      </w:r>
    </w:p>
    <w:p w14:paraId="4BBBB9E9" w14:textId="77777777" w:rsidR="004A4D0D" w:rsidRDefault="004A4D0D" w:rsidP="0046180E">
      <w:pPr>
        <w:pStyle w:val="ListParagraph"/>
        <w:numPr>
          <w:ilvl w:val="1"/>
          <w:numId w:val="1"/>
        </w:numPr>
        <w:jc w:val="both"/>
      </w:pPr>
      <w:r>
        <w:t>Work with dye in the dark!!!</w:t>
      </w:r>
    </w:p>
    <w:p w14:paraId="6338D826" w14:textId="1C4B1CCB" w:rsidR="00DF344B" w:rsidRDefault="004A4D0D" w:rsidP="0046180E">
      <w:pPr>
        <w:pStyle w:val="ListParagraph"/>
        <w:numPr>
          <w:ilvl w:val="2"/>
          <w:numId w:val="1"/>
        </w:numPr>
        <w:jc w:val="both"/>
      </w:pPr>
      <w:r>
        <w:t>Add 700µL of HBSS to the 7µL vial</w:t>
      </w:r>
    </w:p>
    <w:p w14:paraId="16C902E6" w14:textId="34305A93" w:rsidR="00DF344B" w:rsidRDefault="00DF344B" w:rsidP="0046180E">
      <w:pPr>
        <w:pStyle w:val="ListParagraph"/>
        <w:numPr>
          <w:ilvl w:val="2"/>
          <w:numId w:val="1"/>
        </w:numPr>
        <w:jc w:val="both"/>
      </w:pPr>
      <w:r>
        <w:t xml:space="preserve">Mix </w:t>
      </w:r>
      <w:r w:rsidR="004A4D0D">
        <w:t xml:space="preserve">well </w:t>
      </w:r>
      <w:r>
        <w:t xml:space="preserve">with </w:t>
      </w:r>
      <w:r w:rsidR="004A4D0D">
        <w:t xml:space="preserve">a </w:t>
      </w:r>
      <w:r>
        <w:t>pipette</w:t>
      </w:r>
    </w:p>
    <w:p w14:paraId="49FEF8F0" w14:textId="757B4F6B" w:rsidR="000C5502" w:rsidRDefault="00EC3876" w:rsidP="0046180E">
      <w:pPr>
        <w:pStyle w:val="ListParagraph"/>
        <w:numPr>
          <w:ilvl w:val="2"/>
          <w:numId w:val="1"/>
        </w:numPr>
        <w:jc w:val="both"/>
      </w:pPr>
      <w:r>
        <w:t>Prepare 10</w:t>
      </w:r>
      <w:r w:rsidR="003B2524">
        <w:t xml:space="preserve">0µL aliquots </w:t>
      </w:r>
      <w:r w:rsidR="004A4D0D">
        <w:t>of 10µ</w:t>
      </w:r>
      <w:r w:rsidR="000C5502">
        <w:t xml:space="preserve">M </w:t>
      </w:r>
      <w:proofErr w:type="spellStart"/>
      <w:r w:rsidR="004A4D0D">
        <w:t>CytoID</w:t>
      </w:r>
      <w:proofErr w:type="spellEnd"/>
      <w:r w:rsidR="004A4D0D">
        <w:t xml:space="preserve"> and store at </w:t>
      </w:r>
      <w:r w:rsidR="000C5502">
        <w:t>-20</w:t>
      </w:r>
      <w:r w:rsidR="004A4D0D" w:rsidRPr="004A4D0D">
        <w:rPr>
          <w:vertAlign w:val="superscript"/>
        </w:rPr>
        <w:t>o</w:t>
      </w:r>
      <w:r w:rsidR="004A4D0D">
        <w:t xml:space="preserve">C </w:t>
      </w:r>
    </w:p>
    <w:p w14:paraId="23FA8CBA" w14:textId="7A429D65" w:rsidR="004A4D0D" w:rsidRDefault="004A4D0D" w:rsidP="0046180E">
      <w:pPr>
        <w:pStyle w:val="ListParagraph"/>
        <w:numPr>
          <w:ilvl w:val="3"/>
          <w:numId w:val="1"/>
        </w:numPr>
        <w:jc w:val="both"/>
      </w:pPr>
      <w:r>
        <w:t>DO NOT FREEZE THAW</w:t>
      </w:r>
      <w:r w:rsidR="003B2524">
        <w:t>!!!</w:t>
      </w:r>
    </w:p>
    <w:p w14:paraId="1A433339" w14:textId="77777777" w:rsidR="000C5502" w:rsidRDefault="000C5502" w:rsidP="0046180E">
      <w:pPr>
        <w:jc w:val="both"/>
      </w:pPr>
    </w:p>
    <w:p w14:paraId="599F1835" w14:textId="4806781D" w:rsidR="000C5502" w:rsidRDefault="003B2524" w:rsidP="0046180E">
      <w:pPr>
        <w:pStyle w:val="ListParagraph"/>
        <w:numPr>
          <w:ilvl w:val="0"/>
          <w:numId w:val="1"/>
        </w:numPr>
        <w:jc w:val="both"/>
      </w:pPr>
      <w:r>
        <w:t xml:space="preserve">Dilute 10µM </w:t>
      </w:r>
      <w:proofErr w:type="spellStart"/>
      <w:r>
        <w:t>CytoID</w:t>
      </w:r>
      <w:proofErr w:type="spellEnd"/>
      <w:r>
        <w:t xml:space="preserve"> aliquots</w:t>
      </w:r>
      <w:r w:rsidR="00DF344B">
        <w:t xml:space="preserve"> to </w:t>
      </w:r>
      <w:r>
        <w:t xml:space="preserve">a </w:t>
      </w:r>
      <w:r w:rsidR="00DF344B">
        <w:t xml:space="preserve">final working </w:t>
      </w:r>
      <w:r w:rsidR="000C5502">
        <w:t>concentration</w:t>
      </w:r>
      <w:r>
        <w:t xml:space="preserve"> of </w:t>
      </w:r>
      <w:r w:rsidR="000C5502">
        <w:t>0</w:t>
      </w:r>
      <w:r w:rsidR="0046180E">
        <w:t>.5µM in HBSS</w:t>
      </w:r>
    </w:p>
    <w:p w14:paraId="66A4CDAC" w14:textId="3AAB436F" w:rsidR="003B2524" w:rsidRDefault="003B2524" w:rsidP="0046180E">
      <w:pPr>
        <w:pStyle w:val="ListParagraph"/>
        <w:numPr>
          <w:ilvl w:val="1"/>
          <w:numId w:val="1"/>
        </w:numPr>
        <w:jc w:val="both"/>
      </w:pPr>
      <w:r>
        <w:t xml:space="preserve">You will need 250µL of 0.5µM </w:t>
      </w:r>
      <w:proofErr w:type="spellStart"/>
      <w:r>
        <w:t>CytoID</w:t>
      </w:r>
      <w:proofErr w:type="spellEnd"/>
      <w:r>
        <w:t xml:space="preserve"> per well </w:t>
      </w:r>
    </w:p>
    <w:p w14:paraId="32E3FCC3" w14:textId="07F571E8" w:rsidR="003B2524" w:rsidRDefault="003B2524" w:rsidP="0046180E">
      <w:pPr>
        <w:pStyle w:val="ListParagraph"/>
        <w:numPr>
          <w:ilvl w:val="2"/>
          <w:numId w:val="1"/>
        </w:numPr>
        <w:jc w:val="both"/>
      </w:pPr>
      <w:r>
        <w:t>To prepare 8mL (enough for 1 full 24 well plate):</w:t>
      </w:r>
    </w:p>
    <w:p w14:paraId="0358FD2E" w14:textId="3B3AC3B5" w:rsidR="003B2524" w:rsidRDefault="00EC3876" w:rsidP="0046180E">
      <w:pPr>
        <w:pStyle w:val="ListParagraph"/>
        <w:numPr>
          <w:ilvl w:val="3"/>
          <w:numId w:val="1"/>
        </w:numPr>
        <w:jc w:val="both"/>
      </w:pPr>
      <w:r>
        <w:t>7.6mL HBSS</w:t>
      </w:r>
    </w:p>
    <w:p w14:paraId="16A2A96B" w14:textId="79459169" w:rsidR="00EC3876" w:rsidRDefault="00EC3876" w:rsidP="0046180E">
      <w:pPr>
        <w:pStyle w:val="ListParagraph"/>
        <w:numPr>
          <w:ilvl w:val="3"/>
          <w:numId w:val="1"/>
        </w:numPr>
        <w:jc w:val="both"/>
      </w:pPr>
      <w:r>
        <w:t xml:space="preserve">400µL of 10µM </w:t>
      </w:r>
      <w:proofErr w:type="spellStart"/>
      <w:r>
        <w:t>CytoID</w:t>
      </w:r>
      <w:proofErr w:type="spellEnd"/>
      <w:r>
        <w:t xml:space="preserve"> (i.e. 4 aliquots)</w:t>
      </w:r>
    </w:p>
    <w:p w14:paraId="2F29FFC2" w14:textId="77777777" w:rsidR="00EC3876" w:rsidRDefault="00EC3876" w:rsidP="0046180E">
      <w:pPr>
        <w:pStyle w:val="ListParagraph"/>
        <w:ind w:left="2880"/>
        <w:jc w:val="both"/>
      </w:pPr>
    </w:p>
    <w:p w14:paraId="4F4E80CF" w14:textId="34A2A6AC" w:rsidR="00EC3876" w:rsidRDefault="000C5502" w:rsidP="0046180E">
      <w:pPr>
        <w:pStyle w:val="ListParagraph"/>
        <w:numPr>
          <w:ilvl w:val="0"/>
          <w:numId w:val="1"/>
        </w:numPr>
        <w:jc w:val="both"/>
      </w:pPr>
      <w:r>
        <w:t xml:space="preserve">Add 250 microliters of </w:t>
      </w:r>
      <w:r w:rsidR="00EC3876">
        <w:t xml:space="preserve">0.5µM </w:t>
      </w:r>
      <w:proofErr w:type="spellStart"/>
      <w:r w:rsidR="00EC3876">
        <w:t>CytoID</w:t>
      </w:r>
      <w:proofErr w:type="spellEnd"/>
      <w:r w:rsidR="00EC3876">
        <w:t xml:space="preserve"> in HBSS</w:t>
      </w:r>
      <w:r>
        <w:t xml:space="preserve"> </w:t>
      </w:r>
      <w:r w:rsidR="00EC3876">
        <w:t>to each well of a 24 well plate</w:t>
      </w:r>
    </w:p>
    <w:p w14:paraId="2C919D6B" w14:textId="5EE0D140" w:rsidR="00DF344B" w:rsidRDefault="00DF344B" w:rsidP="0046180E">
      <w:pPr>
        <w:pStyle w:val="ListParagraph"/>
        <w:numPr>
          <w:ilvl w:val="1"/>
          <w:numId w:val="1"/>
        </w:numPr>
        <w:jc w:val="both"/>
      </w:pPr>
      <w:r>
        <w:t xml:space="preserve">Transfer 1 coverslip to each well </w:t>
      </w:r>
    </w:p>
    <w:p w14:paraId="0ABD5BAE" w14:textId="77777777" w:rsidR="000C5502" w:rsidRDefault="000C5502" w:rsidP="0046180E">
      <w:pPr>
        <w:pStyle w:val="ListParagraph"/>
        <w:jc w:val="both"/>
      </w:pPr>
    </w:p>
    <w:p w14:paraId="060878FB" w14:textId="71C86A00" w:rsidR="000C5502" w:rsidRDefault="000C5502" w:rsidP="0046180E">
      <w:pPr>
        <w:pStyle w:val="ListParagraph"/>
        <w:numPr>
          <w:ilvl w:val="1"/>
          <w:numId w:val="1"/>
        </w:numPr>
        <w:jc w:val="both"/>
      </w:pPr>
      <w:r>
        <w:lastRenderedPageBreak/>
        <w:t>Incubate for 30 minutes at 37</w:t>
      </w:r>
      <w:r w:rsidR="00EC3876" w:rsidRPr="00EC3876">
        <w:rPr>
          <w:vertAlign w:val="superscript"/>
        </w:rPr>
        <w:t>o</w:t>
      </w:r>
      <w:r>
        <w:t>C.</w:t>
      </w:r>
    </w:p>
    <w:p w14:paraId="6B56E555" w14:textId="77777777" w:rsidR="000C5502" w:rsidRDefault="000C5502" w:rsidP="0046180E">
      <w:pPr>
        <w:pStyle w:val="ListParagraph"/>
        <w:jc w:val="both"/>
      </w:pPr>
    </w:p>
    <w:p w14:paraId="23472FF7" w14:textId="434E186B" w:rsidR="00DF344B" w:rsidRDefault="000C5502" w:rsidP="0046180E">
      <w:pPr>
        <w:pStyle w:val="ListParagraph"/>
        <w:numPr>
          <w:ilvl w:val="0"/>
          <w:numId w:val="1"/>
        </w:numPr>
        <w:jc w:val="both"/>
      </w:pPr>
      <w:r>
        <w:t xml:space="preserve">After incubation, </w:t>
      </w:r>
      <w:r w:rsidR="00EC3876">
        <w:t xml:space="preserve">carefully aspirate the </w:t>
      </w:r>
      <w:proofErr w:type="spellStart"/>
      <w:r w:rsidR="00EC3876">
        <w:t>CytoID</w:t>
      </w:r>
      <w:proofErr w:type="spellEnd"/>
      <w:r w:rsidR="00EC3876">
        <w:t xml:space="preserve"> and add 250µL of HBSS to the wells</w:t>
      </w:r>
    </w:p>
    <w:p w14:paraId="7D07CF13" w14:textId="77777777" w:rsidR="00DF344B" w:rsidRDefault="00DF344B" w:rsidP="0046180E">
      <w:pPr>
        <w:jc w:val="both"/>
      </w:pPr>
    </w:p>
    <w:p w14:paraId="2F9FFC85" w14:textId="77777777" w:rsidR="00DF344B" w:rsidRDefault="00DF344B" w:rsidP="0046180E">
      <w:pPr>
        <w:jc w:val="both"/>
        <w:rPr>
          <w:i/>
        </w:rPr>
      </w:pPr>
      <w:r w:rsidRPr="00795F85">
        <w:rPr>
          <w:i/>
        </w:rPr>
        <w:t xml:space="preserve">Microscope </w:t>
      </w:r>
      <w:proofErr w:type="spellStart"/>
      <w:r w:rsidRPr="00795F85">
        <w:rPr>
          <w:i/>
        </w:rPr>
        <w:t>Pics</w:t>
      </w:r>
      <w:proofErr w:type="spellEnd"/>
      <w:r w:rsidRPr="00795F85">
        <w:rPr>
          <w:i/>
        </w:rPr>
        <w:t>:</w:t>
      </w:r>
    </w:p>
    <w:p w14:paraId="260BA7F9" w14:textId="77777777" w:rsidR="00EC3876" w:rsidRPr="00795F85" w:rsidRDefault="00EC3876" w:rsidP="0046180E">
      <w:pPr>
        <w:jc w:val="both"/>
        <w:rPr>
          <w:i/>
        </w:rPr>
      </w:pPr>
    </w:p>
    <w:p w14:paraId="27A75475" w14:textId="77777777" w:rsidR="00DF344B" w:rsidRDefault="00DF344B" w:rsidP="0046180E">
      <w:pPr>
        <w:pStyle w:val="ListParagraph"/>
        <w:numPr>
          <w:ilvl w:val="0"/>
          <w:numId w:val="2"/>
        </w:numPr>
        <w:jc w:val="both"/>
      </w:pPr>
      <w:r>
        <w:t xml:space="preserve">Turn on fluorescence </w:t>
      </w:r>
      <w:r>
        <w:sym w:font="Wingdings" w:char="F0E0"/>
      </w:r>
      <w:r>
        <w:t xml:space="preserve"> for red dye fluorescence use the green fluorescence </w:t>
      </w:r>
    </w:p>
    <w:p w14:paraId="595FD3AF" w14:textId="77777777" w:rsidR="00DF344B" w:rsidRDefault="00DF344B" w:rsidP="0046180E">
      <w:pPr>
        <w:pStyle w:val="ListParagraph"/>
        <w:numPr>
          <w:ilvl w:val="1"/>
          <w:numId w:val="2"/>
        </w:numPr>
        <w:jc w:val="both"/>
      </w:pPr>
      <w:r>
        <w:t>Box on the side</w:t>
      </w:r>
    </w:p>
    <w:p w14:paraId="4C48CFD8" w14:textId="300233C7" w:rsidR="00DF344B" w:rsidRDefault="00DF344B" w:rsidP="0046180E">
      <w:pPr>
        <w:pStyle w:val="ListParagraph"/>
        <w:numPr>
          <w:ilvl w:val="1"/>
          <w:numId w:val="2"/>
        </w:numPr>
        <w:jc w:val="both"/>
      </w:pPr>
      <w:r>
        <w:t>When microscope is on fluorescence, turn b</w:t>
      </w:r>
      <w:r w:rsidR="003700A2">
        <w:t>rightness for halogen light to 0</w:t>
      </w:r>
      <w:r>
        <w:t xml:space="preserve"> </w:t>
      </w:r>
    </w:p>
    <w:p w14:paraId="205A6132" w14:textId="77777777" w:rsidR="00DF344B" w:rsidRDefault="00DF344B" w:rsidP="0046180E">
      <w:pPr>
        <w:pStyle w:val="ListParagraph"/>
        <w:numPr>
          <w:ilvl w:val="1"/>
          <w:numId w:val="2"/>
        </w:numPr>
        <w:jc w:val="both"/>
      </w:pPr>
      <w:r>
        <w:t xml:space="preserve">When you’re looking at bright field, turn brightness up </w:t>
      </w:r>
    </w:p>
    <w:p w14:paraId="745ECD17" w14:textId="35870ECA" w:rsidR="003700A2" w:rsidRDefault="00DF344B" w:rsidP="0046180E">
      <w:pPr>
        <w:pStyle w:val="ListParagraph"/>
        <w:numPr>
          <w:ilvl w:val="0"/>
          <w:numId w:val="2"/>
        </w:numPr>
        <w:jc w:val="both"/>
      </w:pPr>
      <w:r>
        <w:t xml:space="preserve">Take </w:t>
      </w:r>
      <w:r w:rsidR="003700A2">
        <w:t>a picture of the same field of cells in bright-field mode, red florescent mode and one in between (so you can see all the cells as well as those that are stained) as follows:</w:t>
      </w:r>
    </w:p>
    <w:p w14:paraId="71DB49A9" w14:textId="0FB971DF" w:rsidR="00DF344B" w:rsidRDefault="003700A2" w:rsidP="0046180E">
      <w:pPr>
        <w:pStyle w:val="ListParagraph"/>
        <w:numPr>
          <w:ilvl w:val="1"/>
          <w:numId w:val="2"/>
        </w:numPr>
        <w:jc w:val="both"/>
      </w:pPr>
      <w:r>
        <w:t>To setup</w:t>
      </w:r>
      <w:r w:rsidR="00DF344B">
        <w:t xml:space="preserve"> computer:</w:t>
      </w:r>
    </w:p>
    <w:p w14:paraId="04A5C0C6" w14:textId="64967387" w:rsidR="00DF344B" w:rsidRDefault="00DF344B" w:rsidP="0046180E">
      <w:pPr>
        <w:pStyle w:val="ListParagraph"/>
        <w:numPr>
          <w:ilvl w:val="2"/>
          <w:numId w:val="2"/>
        </w:numPr>
        <w:jc w:val="both"/>
      </w:pPr>
      <w:r>
        <w:t xml:space="preserve">Select Acquisition </w:t>
      </w:r>
      <w:r>
        <w:sym w:font="Wingdings" w:char="F0E0"/>
      </w:r>
      <w:r>
        <w:t xml:space="preserve"> Multidimensional Acquis</w:t>
      </w:r>
      <w:r w:rsidR="003700A2">
        <w:t>i</w:t>
      </w:r>
      <w:r>
        <w:t xml:space="preserve">tion </w:t>
      </w:r>
      <w:r>
        <w:sym w:font="Wingdings" w:char="F0E0"/>
      </w:r>
      <w:r>
        <w:t xml:space="preserve"> 1 channel </w:t>
      </w:r>
      <w:r>
        <w:sym w:font="Wingdings" w:char="F0E0"/>
      </w:r>
      <w:r>
        <w:t xml:space="preserve"> set </w:t>
      </w:r>
      <w:r w:rsidR="003700A2">
        <w:t xml:space="preserve">pseudo color for red to </w:t>
      </w:r>
      <w:r>
        <w:t xml:space="preserve">magenta </w:t>
      </w:r>
      <w:r>
        <w:sym w:font="Wingdings" w:char="F0E0"/>
      </w:r>
      <w:r>
        <w:t xml:space="preserve"> name </w:t>
      </w:r>
      <w:r w:rsidR="003700A2">
        <w:t xml:space="preserve">the channel, </w:t>
      </w:r>
      <w:r>
        <w:t>“Hypoxia Red”</w:t>
      </w:r>
    </w:p>
    <w:p w14:paraId="1636B4FB" w14:textId="2C3DC94A" w:rsidR="003700A2" w:rsidRDefault="003700A2" w:rsidP="0046180E">
      <w:pPr>
        <w:pStyle w:val="ListParagraph"/>
        <w:numPr>
          <w:ilvl w:val="1"/>
          <w:numId w:val="2"/>
        </w:numPr>
        <w:jc w:val="both"/>
      </w:pPr>
      <w:r>
        <w:t>For Fluorescent Images:</w:t>
      </w:r>
    </w:p>
    <w:p w14:paraId="1E641468" w14:textId="447AA4F4" w:rsidR="003700A2" w:rsidRDefault="003700A2" w:rsidP="0046180E">
      <w:pPr>
        <w:pStyle w:val="ListParagraph"/>
        <w:numPr>
          <w:ilvl w:val="2"/>
          <w:numId w:val="2"/>
        </w:numPr>
        <w:jc w:val="both"/>
      </w:pPr>
      <w:r>
        <w:t xml:space="preserve">Turn brightness knob for the halogen bulb to 0 </w:t>
      </w:r>
    </w:p>
    <w:p w14:paraId="53E2C829" w14:textId="12A7FDE1" w:rsidR="003700A2" w:rsidRDefault="003700A2" w:rsidP="0046180E">
      <w:pPr>
        <w:pStyle w:val="ListParagraph"/>
        <w:numPr>
          <w:ilvl w:val="2"/>
          <w:numId w:val="2"/>
        </w:numPr>
        <w:jc w:val="both"/>
      </w:pPr>
      <w:r>
        <w:t xml:space="preserve">Live </w:t>
      </w:r>
      <w:r>
        <w:sym w:font="Wingdings" w:char="F0E0"/>
      </w:r>
      <w:r>
        <w:t xml:space="preserve"> Measure </w:t>
      </w:r>
      <w:r>
        <w:sym w:font="Wingdings" w:char="F0E0"/>
      </w:r>
      <w:r>
        <w:t xml:space="preserve"> Fine focus as needed </w:t>
      </w:r>
      <w:r>
        <w:sym w:font="Wingdings" w:char="F0E0"/>
      </w:r>
      <w:r>
        <w:t xml:space="preserve"> OK </w:t>
      </w:r>
      <w:r>
        <w:sym w:font="Wingdings" w:char="F0E0"/>
      </w:r>
      <w:r>
        <w:t xml:space="preserve"> Snap (in side window) </w:t>
      </w:r>
      <w:r>
        <w:sym w:font="Wingdings" w:char="F0E0"/>
      </w:r>
      <w:r>
        <w:t xml:space="preserve"> Save as a ZVI </w:t>
      </w:r>
      <w:r>
        <w:sym w:font="Wingdings" w:char="F0E0"/>
      </w:r>
      <w:r w:rsidR="000650D4">
        <w:t xml:space="preserve"> </w:t>
      </w:r>
      <w:r>
        <w:t xml:space="preserve">Export  (Or it will not retain the magenta pseudo color) </w:t>
      </w:r>
      <w:r>
        <w:sym w:font="Wingdings" w:char="F0E0"/>
      </w:r>
      <w:r>
        <w:t xml:space="preserve"> Select proper folder </w:t>
      </w:r>
      <w:r>
        <w:sym w:font="Wingdings" w:char="F0E0"/>
      </w:r>
      <w:r>
        <w:t xml:space="preserve"> OK to save</w:t>
      </w:r>
    </w:p>
    <w:p w14:paraId="2B966CEC" w14:textId="4CFD286E" w:rsidR="003700A2" w:rsidRDefault="003700A2" w:rsidP="0046180E">
      <w:pPr>
        <w:pStyle w:val="ListParagraph"/>
        <w:numPr>
          <w:ilvl w:val="3"/>
          <w:numId w:val="2"/>
        </w:numPr>
        <w:jc w:val="both"/>
      </w:pPr>
      <w:r>
        <w:t xml:space="preserve">Repeat save but this time as a JPEG </w:t>
      </w:r>
    </w:p>
    <w:p w14:paraId="58523BE5" w14:textId="595FDFFE" w:rsidR="003700A2" w:rsidRDefault="003700A2" w:rsidP="0046180E">
      <w:pPr>
        <w:pStyle w:val="ListParagraph"/>
        <w:numPr>
          <w:ilvl w:val="1"/>
          <w:numId w:val="2"/>
        </w:numPr>
        <w:jc w:val="both"/>
      </w:pPr>
      <w:r>
        <w:t>For Bright-field Images:</w:t>
      </w:r>
    </w:p>
    <w:p w14:paraId="7EE7D840" w14:textId="79E53FAF" w:rsidR="003700A2" w:rsidRDefault="003700A2" w:rsidP="0046180E">
      <w:pPr>
        <w:pStyle w:val="ListParagraph"/>
        <w:numPr>
          <w:ilvl w:val="2"/>
          <w:numId w:val="2"/>
        </w:numPr>
        <w:jc w:val="both"/>
      </w:pPr>
      <w:r>
        <w:t>Turn brightness knob for the halogen bulb all the way up</w:t>
      </w:r>
    </w:p>
    <w:p w14:paraId="08A6E8A5" w14:textId="01A6F6A1" w:rsidR="00DF344B" w:rsidRDefault="00DF344B" w:rsidP="0046180E">
      <w:pPr>
        <w:pStyle w:val="ListParagraph"/>
        <w:numPr>
          <w:ilvl w:val="2"/>
          <w:numId w:val="2"/>
        </w:numPr>
        <w:jc w:val="both"/>
      </w:pPr>
      <w:r>
        <w:t xml:space="preserve">Live </w:t>
      </w:r>
      <w:r>
        <w:sym w:font="Wingdings" w:char="F0E0"/>
      </w:r>
      <w:r>
        <w:t xml:space="preserve"> Exposure </w:t>
      </w:r>
      <w:r>
        <w:sym w:font="Wingdings" w:char="F0E0"/>
      </w:r>
      <w:r>
        <w:t xml:space="preserve"> Snap </w:t>
      </w:r>
      <w:r>
        <w:sym w:font="Wingdings" w:char="F0E0"/>
      </w:r>
      <w:r w:rsidR="003700A2">
        <w:t xml:space="preserve"> Save as both a ZVI and a J</w:t>
      </w:r>
      <w:r>
        <w:t>PEG</w:t>
      </w:r>
    </w:p>
    <w:p w14:paraId="7D502BF7" w14:textId="60D91BD5" w:rsidR="003700A2" w:rsidRDefault="003700A2" w:rsidP="0046180E">
      <w:pPr>
        <w:pStyle w:val="ListParagraph"/>
        <w:numPr>
          <w:ilvl w:val="1"/>
          <w:numId w:val="2"/>
        </w:numPr>
        <w:jc w:val="both"/>
      </w:pPr>
      <w:r>
        <w:t>For in between Images:</w:t>
      </w:r>
    </w:p>
    <w:p w14:paraId="0C8C8269" w14:textId="534616E6" w:rsidR="003700A2" w:rsidRDefault="00734161" w:rsidP="0046180E">
      <w:pPr>
        <w:pStyle w:val="ListParagraph"/>
        <w:numPr>
          <w:ilvl w:val="2"/>
          <w:numId w:val="2"/>
        </w:numPr>
        <w:jc w:val="both"/>
      </w:pPr>
      <w:r>
        <w:t>While in the florescent cube, t</w:t>
      </w:r>
      <w:r w:rsidR="003700A2">
        <w:t>urn brightness knob for</w:t>
      </w:r>
      <w:r>
        <w:t xml:space="preserve"> the halogen bulb all the way down. Then, while looking at the cells through the scope, begin increasing the halogen until you can still see red fluorescence but you can also begin to see all of the cells in the field</w:t>
      </w:r>
    </w:p>
    <w:p w14:paraId="4DEA70A9" w14:textId="5A4CA1C5" w:rsidR="00734161" w:rsidRDefault="00734161" w:rsidP="0046180E">
      <w:pPr>
        <w:pStyle w:val="ListParagraph"/>
        <w:numPr>
          <w:ilvl w:val="2"/>
          <w:numId w:val="2"/>
        </w:numPr>
        <w:jc w:val="both"/>
      </w:pPr>
      <w:r>
        <w:t xml:space="preserve">Live </w:t>
      </w:r>
      <w:r>
        <w:sym w:font="Wingdings" w:char="F0E0"/>
      </w:r>
      <w:r>
        <w:t xml:space="preserve"> Measure </w:t>
      </w:r>
      <w:r>
        <w:sym w:font="Wingdings" w:char="F0E0"/>
      </w:r>
      <w:r>
        <w:t xml:space="preserve"> Fine focus as needed </w:t>
      </w:r>
      <w:r>
        <w:sym w:font="Wingdings" w:char="F0E0"/>
      </w:r>
      <w:r>
        <w:t xml:space="preserve"> OK </w:t>
      </w:r>
      <w:r>
        <w:sym w:font="Wingdings" w:char="F0E0"/>
      </w:r>
      <w:r>
        <w:t xml:space="preserve"> Snap (in side window) </w:t>
      </w:r>
      <w:r>
        <w:sym w:font="Wingdings" w:char="F0E0"/>
      </w:r>
      <w:r>
        <w:t xml:space="preserve"> Save as a ZVI </w:t>
      </w:r>
      <w:r>
        <w:sym w:font="Wingdings" w:char="F0E0"/>
      </w:r>
      <w:r w:rsidR="00B11DFF">
        <w:t xml:space="preserve"> </w:t>
      </w:r>
      <w:r>
        <w:t xml:space="preserve">Export  (Or it will not retain the magenta pseudo color) </w:t>
      </w:r>
      <w:r>
        <w:sym w:font="Wingdings" w:char="F0E0"/>
      </w:r>
      <w:r>
        <w:t xml:space="preserve"> Select proper folder </w:t>
      </w:r>
      <w:r>
        <w:sym w:font="Wingdings" w:char="F0E0"/>
      </w:r>
      <w:r>
        <w:t xml:space="preserve"> OK to save</w:t>
      </w:r>
    </w:p>
    <w:p w14:paraId="040DB56A" w14:textId="1B0B359B" w:rsidR="003700A2" w:rsidRDefault="00734161" w:rsidP="0046180E">
      <w:pPr>
        <w:pStyle w:val="ListParagraph"/>
        <w:numPr>
          <w:ilvl w:val="3"/>
          <w:numId w:val="2"/>
        </w:numPr>
        <w:jc w:val="both"/>
      </w:pPr>
      <w:r>
        <w:t xml:space="preserve">Repeat save but this time as a JPEG </w:t>
      </w:r>
    </w:p>
    <w:sectPr w:rsidR="003700A2" w:rsidSect="001539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51A1" w14:textId="77777777" w:rsidR="003700A2" w:rsidRDefault="003700A2" w:rsidP="004D2E5D">
      <w:r>
        <w:separator/>
      </w:r>
    </w:p>
  </w:endnote>
  <w:endnote w:type="continuationSeparator" w:id="0">
    <w:p w14:paraId="7808B8A0" w14:textId="77777777" w:rsidR="003700A2" w:rsidRDefault="003700A2" w:rsidP="004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B0F9" w14:textId="77777777" w:rsidR="003700A2" w:rsidRDefault="003700A2" w:rsidP="004D2E5D">
      <w:r>
        <w:separator/>
      </w:r>
    </w:p>
  </w:footnote>
  <w:footnote w:type="continuationSeparator" w:id="0">
    <w:p w14:paraId="6A2C4848" w14:textId="77777777" w:rsidR="003700A2" w:rsidRDefault="003700A2" w:rsidP="004D2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BEAD" w14:textId="2924DD8B" w:rsidR="003700A2" w:rsidRDefault="003700A2" w:rsidP="004D2E5D">
    <w:pPr>
      <w:pStyle w:val="Header"/>
      <w:jc w:val="right"/>
    </w:pPr>
    <w:r>
      <w:t>McLaughlin Lab</w:t>
    </w:r>
  </w:p>
  <w:p w14:paraId="351CB3A7" w14:textId="4535C81B" w:rsidR="003700A2" w:rsidRDefault="009C33BB" w:rsidP="009C33BB">
    <w:pPr>
      <w:pStyle w:val="Header"/>
      <w:jc w:val="center"/>
    </w:pPr>
    <w:r>
      <w:tab/>
    </w:r>
    <w:r>
      <w:tab/>
      <w:t>Amy Palubinsky</w:t>
    </w:r>
  </w:p>
  <w:p w14:paraId="0653E91A" w14:textId="2A43A62C" w:rsidR="003700A2" w:rsidRDefault="003700A2" w:rsidP="004D2E5D">
    <w:pPr>
      <w:pStyle w:val="Header"/>
      <w:jc w:val="right"/>
    </w:pPr>
    <w:r>
      <w:t>3.30.15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6EAD"/>
    <w:multiLevelType w:val="hybridMultilevel"/>
    <w:tmpl w:val="BFEEA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62DEC"/>
    <w:multiLevelType w:val="hybridMultilevel"/>
    <w:tmpl w:val="032AB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4B"/>
    <w:rsid w:val="000650D4"/>
    <w:rsid w:val="000C5502"/>
    <w:rsid w:val="00153928"/>
    <w:rsid w:val="0023656E"/>
    <w:rsid w:val="003700A2"/>
    <w:rsid w:val="003B2524"/>
    <w:rsid w:val="0046180E"/>
    <w:rsid w:val="004A4D0D"/>
    <w:rsid w:val="004D2E5D"/>
    <w:rsid w:val="00734161"/>
    <w:rsid w:val="00795F85"/>
    <w:rsid w:val="009C33BB"/>
    <w:rsid w:val="009E47D6"/>
    <w:rsid w:val="00AA603E"/>
    <w:rsid w:val="00AC18F7"/>
    <w:rsid w:val="00B11DFF"/>
    <w:rsid w:val="00DF344B"/>
    <w:rsid w:val="00E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07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44B"/>
    <w:pPr>
      <w:ind w:left="720"/>
      <w:contextualSpacing/>
    </w:pPr>
  </w:style>
  <w:style w:type="paragraph" w:styleId="Header">
    <w:name w:val="header"/>
    <w:basedOn w:val="Normal"/>
    <w:link w:val="HeaderChar"/>
    <w:uiPriority w:val="99"/>
    <w:unhideWhenUsed/>
    <w:rsid w:val="004D2E5D"/>
    <w:pPr>
      <w:tabs>
        <w:tab w:val="center" w:pos="4320"/>
        <w:tab w:val="right" w:pos="8640"/>
      </w:tabs>
    </w:pPr>
  </w:style>
  <w:style w:type="character" w:customStyle="1" w:styleId="HeaderChar">
    <w:name w:val="Header Char"/>
    <w:basedOn w:val="DefaultParagraphFont"/>
    <w:link w:val="Header"/>
    <w:uiPriority w:val="99"/>
    <w:rsid w:val="004D2E5D"/>
  </w:style>
  <w:style w:type="paragraph" w:styleId="Footer">
    <w:name w:val="footer"/>
    <w:basedOn w:val="Normal"/>
    <w:link w:val="FooterChar"/>
    <w:uiPriority w:val="99"/>
    <w:unhideWhenUsed/>
    <w:rsid w:val="004D2E5D"/>
    <w:pPr>
      <w:tabs>
        <w:tab w:val="center" w:pos="4320"/>
        <w:tab w:val="right" w:pos="8640"/>
      </w:tabs>
    </w:pPr>
  </w:style>
  <w:style w:type="character" w:customStyle="1" w:styleId="FooterChar">
    <w:name w:val="Footer Char"/>
    <w:basedOn w:val="DefaultParagraphFont"/>
    <w:link w:val="Footer"/>
    <w:uiPriority w:val="99"/>
    <w:rsid w:val="004D2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44B"/>
    <w:pPr>
      <w:ind w:left="720"/>
      <w:contextualSpacing/>
    </w:pPr>
  </w:style>
  <w:style w:type="paragraph" w:styleId="Header">
    <w:name w:val="header"/>
    <w:basedOn w:val="Normal"/>
    <w:link w:val="HeaderChar"/>
    <w:uiPriority w:val="99"/>
    <w:unhideWhenUsed/>
    <w:rsid w:val="004D2E5D"/>
    <w:pPr>
      <w:tabs>
        <w:tab w:val="center" w:pos="4320"/>
        <w:tab w:val="right" w:pos="8640"/>
      </w:tabs>
    </w:pPr>
  </w:style>
  <w:style w:type="character" w:customStyle="1" w:styleId="HeaderChar">
    <w:name w:val="Header Char"/>
    <w:basedOn w:val="DefaultParagraphFont"/>
    <w:link w:val="Header"/>
    <w:uiPriority w:val="99"/>
    <w:rsid w:val="004D2E5D"/>
  </w:style>
  <w:style w:type="paragraph" w:styleId="Footer">
    <w:name w:val="footer"/>
    <w:basedOn w:val="Normal"/>
    <w:link w:val="FooterChar"/>
    <w:uiPriority w:val="99"/>
    <w:unhideWhenUsed/>
    <w:rsid w:val="004D2E5D"/>
    <w:pPr>
      <w:tabs>
        <w:tab w:val="center" w:pos="4320"/>
        <w:tab w:val="right" w:pos="8640"/>
      </w:tabs>
    </w:pPr>
  </w:style>
  <w:style w:type="character" w:customStyle="1" w:styleId="FooterChar">
    <w:name w:val="Footer Char"/>
    <w:basedOn w:val="DefaultParagraphFont"/>
    <w:link w:val="Footer"/>
    <w:uiPriority w:val="99"/>
    <w:rsid w:val="004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Klein</dc:creator>
  <cp:keywords/>
  <dc:description/>
  <cp:lastModifiedBy>Amy Palubinsky</cp:lastModifiedBy>
  <cp:revision>9</cp:revision>
  <dcterms:created xsi:type="dcterms:W3CDTF">2015-03-30T21:50:00Z</dcterms:created>
  <dcterms:modified xsi:type="dcterms:W3CDTF">2015-03-31T21:53:00Z</dcterms:modified>
</cp:coreProperties>
</file>