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AF4" w:rsidRDefault="00B13E88" w:rsidP="00B13E88">
      <w:r>
        <w:t>For NICU only:</w:t>
      </w:r>
      <w:r w:rsidR="007E7AF4">
        <w:t xml:space="preserve"> </w:t>
      </w:r>
    </w:p>
    <w:p w:rsidR="00B13E88" w:rsidRDefault="007E7AF4" w:rsidP="00B13E88">
      <w:r w:rsidRPr="007E7AF4">
        <w:rPr>
          <w:b/>
        </w:rPr>
        <w:t>July 29, 2014</w:t>
      </w:r>
      <w:r w:rsidR="00B13E88">
        <w:br/>
        <w:t>NICU VS I/O &amp; Interv. &gt; GI/GU &gt; Infant Feeds</w:t>
      </w:r>
    </w:p>
    <w:p w:rsidR="00B13E88" w:rsidRDefault="00B13E88" w:rsidP="00B13E88">
      <w:r>
        <w:t>Liquid Protein has been added to the dropdown. The following formulas are no longer used therefore removed from the dropdown list. Enfamil Premature, Enfamil Gentlease, Portagen, Prosobee, Benefiber, Polycose, and Good Start Protect.  Also, the use of Good Start and Good Start Soy will be discontinued in the near future.  If either of these formulas are used (which should be only on rare occasions), please have the nurse</w:t>
      </w:r>
      <w:r w:rsidR="007E7AF4">
        <w:t xml:space="preserve">s </w:t>
      </w:r>
      <w:r>
        <w:t xml:space="preserve">choose other and then annotate. </w:t>
      </w:r>
      <w:r>
        <w:br/>
      </w:r>
      <w:r>
        <w:rPr>
          <w:noProof/>
        </w:rPr>
        <w:drawing>
          <wp:inline distT="0" distB="0" distL="0" distR="0" wp14:anchorId="6BEC98F1" wp14:editId="6EB43588">
            <wp:extent cx="4467245" cy="3343275"/>
            <wp:effectExtent l="19050" t="19050" r="28575" b="9525"/>
            <wp:docPr id="1" name="Picture 1" descr="SNAGHTML3851c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GHTML3851c893"/>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467245" cy="3343275"/>
                    </a:xfrm>
                    <a:prstGeom prst="rect">
                      <a:avLst/>
                    </a:prstGeom>
                    <a:noFill/>
                    <a:ln>
                      <a:solidFill>
                        <a:schemeClr val="tx1"/>
                      </a:solidFill>
                    </a:ln>
                  </pic:spPr>
                </pic:pic>
              </a:graphicData>
            </a:graphic>
          </wp:inline>
        </w:drawing>
      </w:r>
    </w:p>
    <w:p w:rsidR="007E7AF4" w:rsidRDefault="007E7AF4" w:rsidP="00B13E88"/>
    <w:p w:rsidR="00B13E88" w:rsidRDefault="00B13E88" w:rsidP="00B13E88">
      <w:r>
        <w:rPr>
          <w:rFonts w:eastAsiaTheme="minorEastAsia" w:hAnsi="Calibri"/>
          <w:b/>
          <w:bCs/>
          <w:color w:val="000000" w:themeColor="text1"/>
          <w:kern w:val="24"/>
          <w:sz w:val="36"/>
          <w:szCs w:val="36"/>
        </w:rPr>
        <w:lastRenderedPageBreak/>
        <w:t>Saturday, July 26, 7:30pm to Sunday, July 27, 12:30am</w:t>
      </w:r>
      <w:r>
        <w:rPr>
          <w:rFonts w:eastAsiaTheme="minorEastAsia" w:hAnsi="Calibri"/>
          <w:color w:val="000000" w:themeColor="text1"/>
          <w:kern w:val="24"/>
          <w:sz w:val="36"/>
          <w:szCs w:val="36"/>
        </w:rPr>
        <w:t xml:space="preserve">, NEW Virtual CWS (VCWS) Sessions may NOT be started. If you initiate a VCWS session prior to 7:30pm, you may continue to use that session BUT should you need to end that session before the end of this maintenance downtime period, you will NOT be able to re-start a VCWS session. </w:t>
      </w:r>
    </w:p>
    <w:p w:rsidR="00B13E88" w:rsidRDefault="00B13E88" w:rsidP="00B13E88">
      <w:pPr>
        <w:pStyle w:val="ListParagraph"/>
        <w:numPr>
          <w:ilvl w:val="0"/>
          <w:numId w:val="1"/>
        </w:numPr>
        <w:rPr>
          <w:sz w:val="36"/>
        </w:rPr>
      </w:pPr>
      <w:r>
        <w:rPr>
          <w:rFonts w:asciiTheme="minorHAnsi" w:eastAsiaTheme="minorEastAsia" w:hAnsi="Calibri" w:cstheme="minorBidi"/>
          <w:color w:val="000000" w:themeColor="text1"/>
          <w:kern w:val="24"/>
          <w:sz w:val="36"/>
          <w:szCs w:val="36"/>
        </w:rPr>
        <w:t xml:space="preserve">If you do need to initiate a new CWS session during this 4 hour downtime, you will need to </w:t>
      </w:r>
      <w:r>
        <w:rPr>
          <w:rFonts w:asciiTheme="minorHAnsi" w:eastAsiaTheme="minorEastAsia" w:hAnsi="Calibri" w:cstheme="minorBidi"/>
          <w:b/>
          <w:bCs/>
          <w:color w:val="000000" w:themeColor="text1"/>
          <w:kern w:val="24"/>
          <w:sz w:val="36"/>
          <w:szCs w:val="36"/>
        </w:rPr>
        <w:t>UNCHECK</w:t>
      </w:r>
      <w:r>
        <w:rPr>
          <w:rFonts w:asciiTheme="minorHAnsi" w:eastAsiaTheme="minorEastAsia" w:hAnsi="Calibri" w:cstheme="minorBidi"/>
          <w:color w:val="000000" w:themeColor="text1"/>
          <w:kern w:val="24"/>
          <w:sz w:val="36"/>
          <w:szCs w:val="36"/>
        </w:rPr>
        <w:t xml:space="preserve"> the box beside “</w:t>
      </w:r>
      <w:r>
        <w:rPr>
          <w:rFonts w:asciiTheme="minorHAnsi" w:eastAsiaTheme="minorEastAsia" w:hAnsi="Calibri" w:cstheme="minorBidi"/>
          <w:color w:val="943634" w:themeColor="accent2" w:themeShade="BF"/>
          <w:kern w:val="24"/>
          <w:sz w:val="36"/>
          <w:szCs w:val="36"/>
        </w:rPr>
        <w:t>Logon to VCWS</w:t>
      </w:r>
      <w:r>
        <w:rPr>
          <w:rFonts w:asciiTheme="minorHAnsi" w:eastAsiaTheme="minorEastAsia" w:hAnsi="Calibri" w:cstheme="minorBidi"/>
          <w:color w:val="000000" w:themeColor="text1"/>
          <w:kern w:val="24"/>
          <w:sz w:val="36"/>
          <w:szCs w:val="36"/>
        </w:rPr>
        <w:t xml:space="preserve">” on </w:t>
      </w:r>
      <w:r>
        <w:rPr>
          <w:rFonts w:asciiTheme="minorHAnsi" w:eastAsiaTheme="minorEastAsia" w:hAnsi="Calibri" w:cstheme="minorBidi"/>
          <w:i/>
          <w:iCs/>
          <w:color w:val="000000" w:themeColor="text1"/>
          <w:kern w:val="24"/>
          <w:sz w:val="36"/>
          <w:szCs w:val="36"/>
        </w:rPr>
        <w:t xml:space="preserve">Clinical Desktop Login </w:t>
      </w:r>
      <w:r>
        <w:rPr>
          <w:rFonts w:asciiTheme="minorHAnsi" w:eastAsiaTheme="minorEastAsia" w:hAnsi="Calibri" w:cstheme="minorBidi"/>
          <w:color w:val="000000" w:themeColor="text1"/>
          <w:kern w:val="24"/>
          <w:sz w:val="36"/>
          <w:szCs w:val="36"/>
        </w:rPr>
        <w:t xml:space="preserve">box. </w:t>
      </w:r>
    </w:p>
    <w:p w:rsidR="00122B81" w:rsidRPr="0041389B" w:rsidRDefault="00122B81" w:rsidP="00122B81">
      <w:pPr>
        <w:pStyle w:val="ListParagraph"/>
        <w:numPr>
          <w:ilvl w:val="0"/>
          <w:numId w:val="1"/>
        </w:numPr>
        <w:rPr>
          <w:sz w:val="36"/>
        </w:rPr>
      </w:pPr>
      <w:r>
        <w:rPr>
          <w:rFonts w:asciiTheme="minorHAnsi" w:hAnsi="Calibri" w:cstheme="minorBidi"/>
          <w:color w:val="000000" w:themeColor="text1"/>
          <w:kern w:val="24"/>
          <w:sz w:val="36"/>
          <w:szCs w:val="36"/>
        </w:rPr>
        <w:t>You may swipe your badge during the downtime with the VCWS box unchecked, this will log you into a non-virtual work session.</w:t>
      </w:r>
    </w:p>
    <w:p w:rsidR="00122B81" w:rsidRDefault="00122B81" w:rsidP="00122B81">
      <w:pPr>
        <w:pStyle w:val="ListParagraph"/>
        <w:numPr>
          <w:ilvl w:val="0"/>
          <w:numId w:val="1"/>
        </w:numPr>
        <w:rPr>
          <w:sz w:val="36"/>
        </w:rPr>
      </w:pPr>
      <w:r>
        <w:rPr>
          <w:rFonts w:asciiTheme="minorHAnsi" w:hAnsi="Calibri" w:cstheme="minorBidi"/>
          <w:color w:val="000000" w:themeColor="text1"/>
          <w:kern w:val="24"/>
          <w:sz w:val="36"/>
          <w:szCs w:val="36"/>
        </w:rPr>
        <w:t xml:space="preserve">After downtime is over you must swipe your badge with the VCWS box checked to return to the virtual work station. </w:t>
      </w:r>
    </w:p>
    <w:p w:rsidR="00B13E88" w:rsidRDefault="00B13E88" w:rsidP="00B13E88">
      <w:r w:rsidRPr="00B13E88">
        <w:rPr>
          <w:noProof/>
        </w:rPr>
        <mc:AlternateContent>
          <mc:Choice Requires="wps">
            <w:drawing>
              <wp:anchor distT="0" distB="0" distL="114300" distR="114300" simplePos="0" relativeHeight="251659264" behindDoc="0" locked="0" layoutInCell="1" allowOverlap="1" wp14:anchorId="37DADD4E" wp14:editId="6268CC81">
                <wp:simplePos x="0" y="0"/>
                <wp:positionH relativeFrom="column">
                  <wp:posOffset>3305175</wp:posOffset>
                </wp:positionH>
                <wp:positionV relativeFrom="paragraph">
                  <wp:posOffset>236220</wp:posOffset>
                </wp:positionV>
                <wp:extent cx="3657600" cy="914400"/>
                <wp:effectExtent l="0" t="0" r="19050" b="19050"/>
                <wp:wrapNone/>
                <wp:docPr id="6" name="Left Arrow 5"/>
                <wp:cNvGraphicFramePr/>
                <a:graphic xmlns:a="http://schemas.openxmlformats.org/drawingml/2006/main">
                  <a:graphicData uri="http://schemas.microsoft.com/office/word/2010/wordprocessingShape">
                    <wps:wsp>
                      <wps:cNvSpPr/>
                      <wps:spPr>
                        <a:xfrm>
                          <a:off x="0" y="0"/>
                          <a:ext cx="3657600" cy="9144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13E88" w:rsidRDefault="00B13E88" w:rsidP="00B13E88">
                            <w:pPr>
                              <w:pStyle w:val="NormalWeb"/>
                              <w:spacing w:before="0" w:beforeAutospacing="0" w:after="0" w:afterAutospacing="0"/>
                              <w:jc w:val="center"/>
                            </w:pPr>
                            <w:r>
                              <w:rPr>
                                <w:rFonts w:asciiTheme="minorHAnsi" w:hAnsi="Calibri" w:cstheme="minorBidi"/>
                                <w:color w:val="FFFFFF" w:themeColor="light1"/>
                                <w:kern w:val="24"/>
                                <w:sz w:val="20"/>
                                <w:szCs w:val="20"/>
                              </w:rPr>
                              <w:t xml:space="preserve">To log on directly to the CWS (by-passing </w:t>
                            </w:r>
                            <w:proofErr w:type="gramStart"/>
                            <w:r>
                              <w:rPr>
                                <w:rFonts w:asciiTheme="minorHAnsi" w:hAnsi="Calibri" w:cstheme="minorBidi"/>
                                <w:color w:val="FFFFFF" w:themeColor="light1"/>
                                <w:kern w:val="24"/>
                                <w:sz w:val="20"/>
                                <w:szCs w:val="20"/>
                              </w:rPr>
                              <w:t>Virtual  while</w:t>
                            </w:r>
                            <w:proofErr w:type="gramEnd"/>
                            <w:r>
                              <w:rPr>
                                <w:rFonts w:asciiTheme="minorHAnsi" w:hAnsi="Calibri" w:cstheme="minorBidi"/>
                                <w:color w:val="FFFFFF" w:themeColor="light1"/>
                                <w:kern w:val="24"/>
                                <w:sz w:val="20"/>
                                <w:szCs w:val="20"/>
                              </w:rPr>
                              <w:t xml:space="preserve"> it is unavailable), uncheck this box and enter VU Net ID &amp; PW. </w:t>
                            </w:r>
                          </w:p>
                        </w:txbxContent>
                      </wps:txbx>
                      <wps:bodyPr rtlCol="0" anchor="ct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6" type="#_x0000_t66" style="position:absolute;margin-left:260.25pt;margin-top:18.6pt;width:4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" adj="2700" fillcolor="#4f81bd [3204]" strokecolor="#243f60 [1604]" strokeweight="2pt">
                <v:textbox>
                  <w:txbxContent>
                    <w:p w:rsidR="00B13E88" w:rsidRDefault="00B13E88" w:rsidP="00B13E88">
                      <w:pPr>
                        <w:pStyle w:val="NormalWeb"/>
                        <w:spacing w:before="0" w:beforeAutospacing="0" w:after="0" w:afterAutospacing="0"/>
                        <w:jc w:val="center"/>
                      </w:pPr>
                      <w:r>
                        <w:rPr>
                          <w:rFonts w:asciiTheme="minorHAnsi" w:hAnsi="Calibri" w:cstheme="minorBidi"/>
                          <w:color w:val="FFFFFF" w:themeColor="light1"/>
                          <w:kern w:val="24"/>
                          <w:sz w:val="20"/>
                          <w:szCs w:val="20"/>
                        </w:rPr>
                        <w:t xml:space="preserve">To log on directly to the CWS (by-passing </w:t>
                      </w:r>
                      <w:proofErr w:type="gramStart"/>
                      <w:r>
                        <w:rPr>
                          <w:rFonts w:asciiTheme="minorHAnsi" w:hAnsi="Calibri" w:cstheme="minorBidi"/>
                          <w:color w:val="FFFFFF" w:themeColor="light1"/>
                          <w:kern w:val="24"/>
                          <w:sz w:val="20"/>
                          <w:szCs w:val="20"/>
                        </w:rPr>
                        <w:t>Virtual  while</w:t>
                      </w:r>
                      <w:proofErr w:type="gramEnd"/>
                      <w:r>
                        <w:rPr>
                          <w:rFonts w:asciiTheme="minorHAnsi" w:hAnsi="Calibri" w:cstheme="minorBidi"/>
                          <w:color w:val="FFFFFF" w:themeColor="light1"/>
                          <w:kern w:val="24"/>
                          <w:sz w:val="20"/>
                          <w:szCs w:val="20"/>
                        </w:rPr>
                        <w:t xml:space="preserve"> it is unavailable), uncheck this box and enter VU Net ID &amp; PW. </w:t>
                      </w:r>
                    </w:p>
                  </w:txbxContent>
                </v:textbox>
              </v:shape>
            </w:pict>
          </mc:Fallback>
        </mc:AlternateContent>
      </w:r>
      <w:r>
        <w:rPr>
          <w:noProof/>
        </w:rPr>
        <w:drawing>
          <wp:inline distT="0" distB="0" distL="0" distR="0" wp14:anchorId="697A6287" wp14:editId="1722C3F1">
            <wp:extent cx="3533775" cy="2838450"/>
            <wp:effectExtent l="0" t="0" r="952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7577" cy="2841504"/>
                    </a:xfrm>
                    <a:prstGeom prst="rect">
                      <a:avLst/>
                    </a:prstGeom>
                    <a:noFill/>
                    <a:ln>
                      <a:noFill/>
                    </a:ln>
                    <a:effectLst/>
                    <a:extLst/>
                  </pic:spPr>
                </pic:pic>
              </a:graphicData>
            </a:graphic>
          </wp:inline>
        </w:drawing>
      </w:r>
      <w:bookmarkStart w:id="0" w:name="_GoBack"/>
      <w:bookmarkEnd w:id="0"/>
    </w:p>
    <w:p w:rsidR="00B13E88" w:rsidRDefault="00B13E88" w:rsidP="00B13E88">
      <w:r>
        <w:lastRenderedPageBreak/>
        <w:br/>
      </w:r>
    </w:p>
    <w:p w:rsidR="007E7AF4" w:rsidRDefault="007E7AF4" w:rsidP="007E7AF4">
      <w:r>
        <w:t xml:space="preserve">For All VUMC: </w:t>
      </w:r>
      <w:r>
        <w:br/>
        <w:t xml:space="preserve">These are scheduled to go out </w:t>
      </w:r>
      <w:r w:rsidRPr="007E7AF4">
        <w:rPr>
          <w:b/>
        </w:rPr>
        <w:t>August 5, 2014</w:t>
      </w:r>
    </w:p>
    <w:p w:rsidR="00B13E88" w:rsidRDefault="007E7AF4" w:rsidP="00B13E88">
      <w:r>
        <w:t xml:space="preserve">Changes to the Catheter Start details: </w:t>
      </w:r>
      <w:r>
        <w:br/>
        <w:t>Modified the start details section.</w:t>
      </w:r>
      <w:r>
        <w:br/>
        <w:t>All catheters will require documentation in the Catheter Insertion section.</w:t>
      </w:r>
      <w:r>
        <w:br/>
        <w:t xml:space="preserve"> The ED/Inpt insertion section will only be documented if the catheter was started in VUMC ED or Inpatient unit.</w:t>
      </w:r>
      <w:r>
        <w:br/>
        <w:t>Removed fields for “Urine returned”, “Aseptic Technique Used” and “Inserted time”.</w:t>
      </w:r>
      <w:r>
        <w:br/>
      </w:r>
    </w:p>
    <w:p w:rsidR="004C3434" w:rsidRDefault="007E7AF4">
      <w:r>
        <w:rPr>
          <w:noProof/>
        </w:rPr>
        <w:drawing>
          <wp:inline distT="0" distB="0" distL="0" distR="0" wp14:anchorId="3AAA6C59" wp14:editId="370B71DE">
            <wp:extent cx="6396990" cy="2822201"/>
            <wp:effectExtent l="19050" t="19050" r="22860" b="16510"/>
            <wp:docPr id="3" name="Picture 3" descr="C:\Users\raineswn\AppData\Local\Temp\SNAGHTML3a74d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ineswn\AppData\Local\Temp\SNAGHTML3a74da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9953" cy="2823508"/>
                    </a:xfrm>
                    <a:prstGeom prst="rect">
                      <a:avLst/>
                    </a:prstGeom>
                    <a:noFill/>
                    <a:ln>
                      <a:solidFill>
                        <a:schemeClr val="tx1"/>
                      </a:solidFill>
                    </a:ln>
                  </pic:spPr>
                </pic:pic>
              </a:graphicData>
            </a:graphic>
          </wp:inline>
        </w:drawing>
      </w:r>
    </w:p>
    <w:p w:rsidR="007E7AF4" w:rsidRDefault="007E7AF4"/>
    <w:p w:rsidR="007E7AF4" w:rsidRDefault="007E7AF4"/>
    <w:p w:rsidR="007E7AF4" w:rsidRDefault="007E7AF4">
      <w:r>
        <w:lastRenderedPageBreak/>
        <w:t>Changes to drop-down list for “Patient Location”:</w:t>
      </w:r>
      <w:r>
        <w:br/>
      </w:r>
      <w:r>
        <w:rPr>
          <w:noProof/>
        </w:rPr>
        <w:drawing>
          <wp:inline distT="0" distB="0" distL="0" distR="0" wp14:anchorId="3315F01C" wp14:editId="6BA92E72">
            <wp:extent cx="4095238" cy="2276191"/>
            <wp:effectExtent l="19050" t="19050" r="19685"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95238" cy="2276191"/>
                    </a:xfrm>
                    <a:prstGeom prst="rect">
                      <a:avLst/>
                    </a:prstGeom>
                    <a:ln>
                      <a:solidFill>
                        <a:schemeClr val="tx1"/>
                      </a:solidFill>
                    </a:ln>
                  </pic:spPr>
                </pic:pic>
              </a:graphicData>
            </a:graphic>
          </wp:inline>
        </w:drawing>
      </w:r>
    </w:p>
    <w:p w:rsidR="007E7AF4" w:rsidRDefault="007E7AF4"/>
    <w:p w:rsidR="007E7AF4" w:rsidRDefault="007E7AF4">
      <w:r>
        <w:t>Added “Scan bladder” to drop-down for “If No Urine Output, Action taken”:</w:t>
      </w:r>
      <w:r>
        <w:br/>
      </w:r>
      <w:r>
        <w:rPr>
          <w:noProof/>
        </w:rPr>
        <w:drawing>
          <wp:inline distT="0" distB="0" distL="0" distR="0" wp14:anchorId="3123B9FF" wp14:editId="42A32FD2">
            <wp:extent cx="5943600" cy="1889760"/>
            <wp:effectExtent l="19050" t="19050" r="19050" b="152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889760"/>
                    </a:xfrm>
                    <a:prstGeom prst="rect">
                      <a:avLst/>
                    </a:prstGeom>
                    <a:ln>
                      <a:solidFill>
                        <a:schemeClr val="tx1"/>
                      </a:solidFill>
                    </a:ln>
                  </pic:spPr>
                </pic:pic>
              </a:graphicData>
            </a:graphic>
          </wp:inline>
        </w:drawing>
      </w:r>
    </w:p>
    <w:sectPr w:rsidR="007E7AF4" w:rsidSect="00B13E8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5FF8"/>
    <w:multiLevelType w:val="hybridMultilevel"/>
    <w:tmpl w:val="F0CA08D6"/>
    <w:lvl w:ilvl="0" w:tplc="6AD01CAE">
      <w:start w:val="1"/>
      <w:numFmt w:val="bullet"/>
      <w:lvlText w:val="•"/>
      <w:lvlJc w:val="left"/>
      <w:pPr>
        <w:tabs>
          <w:tab w:val="num" w:pos="720"/>
        </w:tabs>
        <w:ind w:left="720" w:hanging="360"/>
      </w:pPr>
      <w:rPr>
        <w:rFonts w:ascii="Arial" w:hAnsi="Arial" w:hint="default"/>
      </w:rPr>
    </w:lvl>
    <w:lvl w:ilvl="1" w:tplc="C35EA336" w:tentative="1">
      <w:start w:val="1"/>
      <w:numFmt w:val="bullet"/>
      <w:lvlText w:val="•"/>
      <w:lvlJc w:val="left"/>
      <w:pPr>
        <w:tabs>
          <w:tab w:val="num" w:pos="1440"/>
        </w:tabs>
        <w:ind w:left="1440" w:hanging="360"/>
      </w:pPr>
      <w:rPr>
        <w:rFonts w:ascii="Arial" w:hAnsi="Arial" w:hint="default"/>
      </w:rPr>
    </w:lvl>
    <w:lvl w:ilvl="2" w:tplc="FCC6F132" w:tentative="1">
      <w:start w:val="1"/>
      <w:numFmt w:val="bullet"/>
      <w:lvlText w:val="•"/>
      <w:lvlJc w:val="left"/>
      <w:pPr>
        <w:tabs>
          <w:tab w:val="num" w:pos="2160"/>
        </w:tabs>
        <w:ind w:left="2160" w:hanging="360"/>
      </w:pPr>
      <w:rPr>
        <w:rFonts w:ascii="Arial" w:hAnsi="Arial" w:hint="default"/>
      </w:rPr>
    </w:lvl>
    <w:lvl w:ilvl="3" w:tplc="A464281A" w:tentative="1">
      <w:start w:val="1"/>
      <w:numFmt w:val="bullet"/>
      <w:lvlText w:val="•"/>
      <w:lvlJc w:val="left"/>
      <w:pPr>
        <w:tabs>
          <w:tab w:val="num" w:pos="2880"/>
        </w:tabs>
        <w:ind w:left="2880" w:hanging="360"/>
      </w:pPr>
      <w:rPr>
        <w:rFonts w:ascii="Arial" w:hAnsi="Arial" w:hint="default"/>
      </w:rPr>
    </w:lvl>
    <w:lvl w:ilvl="4" w:tplc="C8EEF24E" w:tentative="1">
      <w:start w:val="1"/>
      <w:numFmt w:val="bullet"/>
      <w:lvlText w:val="•"/>
      <w:lvlJc w:val="left"/>
      <w:pPr>
        <w:tabs>
          <w:tab w:val="num" w:pos="3600"/>
        </w:tabs>
        <w:ind w:left="3600" w:hanging="360"/>
      </w:pPr>
      <w:rPr>
        <w:rFonts w:ascii="Arial" w:hAnsi="Arial" w:hint="default"/>
      </w:rPr>
    </w:lvl>
    <w:lvl w:ilvl="5" w:tplc="1AF8EC3E" w:tentative="1">
      <w:start w:val="1"/>
      <w:numFmt w:val="bullet"/>
      <w:lvlText w:val="•"/>
      <w:lvlJc w:val="left"/>
      <w:pPr>
        <w:tabs>
          <w:tab w:val="num" w:pos="4320"/>
        </w:tabs>
        <w:ind w:left="4320" w:hanging="360"/>
      </w:pPr>
      <w:rPr>
        <w:rFonts w:ascii="Arial" w:hAnsi="Arial" w:hint="default"/>
      </w:rPr>
    </w:lvl>
    <w:lvl w:ilvl="6" w:tplc="A886B028" w:tentative="1">
      <w:start w:val="1"/>
      <w:numFmt w:val="bullet"/>
      <w:lvlText w:val="•"/>
      <w:lvlJc w:val="left"/>
      <w:pPr>
        <w:tabs>
          <w:tab w:val="num" w:pos="5040"/>
        </w:tabs>
        <w:ind w:left="5040" w:hanging="360"/>
      </w:pPr>
      <w:rPr>
        <w:rFonts w:ascii="Arial" w:hAnsi="Arial" w:hint="default"/>
      </w:rPr>
    </w:lvl>
    <w:lvl w:ilvl="7" w:tplc="6AF243C0" w:tentative="1">
      <w:start w:val="1"/>
      <w:numFmt w:val="bullet"/>
      <w:lvlText w:val="•"/>
      <w:lvlJc w:val="left"/>
      <w:pPr>
        <w:tabs>
          <w:tab w:val="num" w:pos="5760"/>
        </w:tabs>
        <w:ind w:left="5760" w:hanging="360"/>
      </w:pPr>
      <w:rPr>
        <w:rFonts w:ascii="Arial" w:hAnsi="Arial" w:hint="default"/>
      </w:rPr>
    </w:lvl>
    <w:lvl w:ilvl="8" w:tplc="85F6BAB2" w:tentative="1">
      <w:start w:val="1"/>
      <w:numFmt w:val="bullet"/>
      <w:lvlText w:val="•"/>
      <w:lvlJc w:val="left"/>
      <w:pPr>
        <w:tabs>
          <w:tab w:val="num" w:pos="6480"/>
        </w:tabs>
        <w:ind w:left="6480" w:hanging="360"/>
      </w:pPr>
      <w:rPr>
        <w:rFonts w:ascii="Arial" w:hAnsi="Arial" w:hint="default"/>
      </w:rPr>
    </w:lvl>
  </w:abstractNum>
  <w:abstractNum w:abstractNumId="1">
    <w:nsid w:val="77B772A6"/>
    <w:multiLevelType w:val="hybridMultilevel"/>
    <w:tmpl w:val="1EC03174"/>
    <w:lvl w:ilvl="0" w:tplc="7B8C4ECC">
      <w:start w:val="1"/>
      <w:numFmt w:val="bullet"/>
      <w:lvlText w:val="•"/>
      <w:lvlJc w:val="left"/>
      <w:pPr>
        <w:tabs>
          <w:tab w:val="num" w:pos="720"/>
        </w:tabs>
        <w:ind w:left="720" w:hanging="360"/>
      </w:pPr>
      <w:rPr>
        <w:rFonts w:ascii="Arial" w:hAnsi="Arial" w:hint="default"/>
      </w:rPr>
    </w:lvl>
    <w:lvl w:ilvl="1" w:tplc="46B4FDDE" w:tentative="1">
      <w:start w:val="1"/>
      <w:numFmt w:val="bullet"/>
      <w:lvlText w:val="•"/>
      <w:lvlJc w:val="left"/>
      <w:pPr>
        <w:tabs>
          <w:tab w:val="num" w:pos="1440"/>
        </w:tabs>
        <w:ind w:left="1440" w:hanging="360"/>
      </w:pPr>
      <w:rPr>
        <w:rFonts w:ascii="Arial" w:hAnsi="Arial" w:hint="default"/>
      </w:rPr>
    </w:lvl>
    <w:lvl w:ilvl="2" w:tplc="D5C0B69C" w:tentative="1">
      <w:start w:val="1"/>
      <w:numFmt w:val="bullet"/>
      <w:lvlText w:val="•"/>
      <w:lvlJc w:val="left"/>
      <w:pPr>
        <w:tabs>
          <w:tab w:val="num" w:pos="2160"/>
        </w:tabs>
        <w:ind w:left="2160" w:hanging="360"/>
      </w:pPr>
      <w:rPr>
        <w:rFonts w:ascii="Arial" w:hAnsi="Arial" w:hint="default"/>
      </w:rPr>
    </w:lvl>
    <w:lvl w:ilvl="3" w:tplc="27820834" w:tentative="1">
      <w:start w:val="1"/>
      <w:numFmt w:val="bullet"/>
      <w:lvlText w:val="•"/>
      <w:lvlJc w:val="left"/>
      <w:pPr>
        <w:tabs>
          <w:tab w:val="num" w:pos="2880"/>
        </w:tabs>
        <w:ind w:left="2880" w:hanging="360"/>
      </w:pPr>
      <w:rPr>
        <w:rFonts w:ascii="Arial" w:hAnsi="Arial" w:hint="default"/>
      </w:rPr>
    </w:lvl>
    <w:lvl w:ilvl="4" w:tplc="1B8412FC" w:tentative="1">
      <w:start w:val="1"/>
      <w:numFmt w:val="bullet"/>
      <w:lvlText w:val="•"/>
      <w:lvlJc w:val="left"/>
      <w:pPr>
        <w:tabs>
          <w:tab w:val="num" w:pos="3600"/>
        </w:tabs>
        <w:ind w:left="3600" w:hanging="360"/>
      </w:pPr>
      <w:rPr>
        <w:rFonts w:ascii="Arial" w:hAnsi="Arial" w:hint="default"/>
      </w:rPr>
    </w:lvl>
    <w:lvl w:ilvl="5" w:tplc="BF54905E" w:tentative="1">
      <w:start w:val="1"/>
      <w:numFmt w:val="bullet"/>
      <w:lvlText w:val="•"/>
      <w:lvlJc w:val="left"/>
      <w:pPr>
        <w:tabs>
          <w:tab w:val="num" w:pos="4320"/>
        </w:tabs>
        <w:ind w:left="4320" w:hanging="360"/>
      </w:pPr>
      <w:rPr>
        <w:rFonts w:ascii="Arial" w:hAnsi="Arial" w:hint="default"/>
      </w:rPr>
    </w:lvl>
    <w:lvl w:ilvl="6" w:tplc="ED6CD94C" w:tentative="1">
      <w:start w:val="1"/>
      <w:numFmt w:val="bullet"/>
      <w:lvlText w:val="•"/>
      <w:lvlJc w:val="left"/>
      <w:pPr>
        <w:tabs>
          <w:tab w:val="num" w:pos="5040"/>
        </w:tabs>
        <w:ind w:left="5040" w:hanging="360"/>
      </w:pPr>
      <w:rPr>
        <w:rFonts w:ascii="Arial" w:hAnsi="Arial" w:hint="default"/>
      </w:rPr>
    </w:lvl>
    <w:lvl w:ilvl="7" w:tplc="F30E1C3A" w:tentative="1">
      <w:start w:val="1"/>
      <w:numFmt w:val="bullet"/>
      <w:lvlText w:val="•"/>
      <w:lvlJc w:val="left"/>
      <w:pPr>
        <w:tabs>
          <w:tab w:val="num" w:pos="5760"/>
        </w:tabs>
        <w:ind w:left="5760" w:hanging="360"/>
      </w:pPr>
      <w:rPr>
        <w:rFonts w:ascii="Arial" w:hAnsi="Arial" w:hint="default"/>
      </w:rPr>
    </w:lvl>
    <w:lvl w:ilvl="8" w:tplc="255EFAC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88"/>
    <w:rsid w:val="00122B81"/>
    <w:rsid w:val="007E29E2"/>
    <w:rsid w:val="007E7AF4"/>
    <w:rsid w:val="00B13E88"/>
    <w:rsid w:val="00D5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E88"/>
    <w:rPr>
      <w:rFonts w:ascii="Tahoma" w:hAnsi="Tahoma" w:cs="Tahoma"/>
      <w:sz w:val="16"/>
      <w:szCs w:val="16"/>
    </w:rPr>
  </w:style>
  <w:style w:type="paragraph" w:styleId="NormalWeb">
    <w:name w:val="Normal (Web)"/>
    <w:basedOn w:val="Normal"/>
    <w:uiPriority w:val="99"/>
    <w:semiHidden/>
    <w:unhideWhenUsed/>
    <w:rsid w:val="00B13E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3E88"/>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E88"/>
    <w:rPr>
      <w:rFonts w:ascii="Tahoma" w:hAnsi="Tahoma" w:cs="Tahoma"/>
      <w:sz w:val="16"/>
      <w:szCs w:val="16"/>
    </w:rPr>
  </w:style>
  <w:style w:type="paragraph" w:styleId="NormalWeb">
    <w:name w:val="Normal (Web)"/>
    <w:basedOn w:val="Normal"/>
    <w:uiPriority w:val="99"/>
    <w:semiHidden/>
    <w:unhideWhenUsed/>
    <w:rsid w:val="00B13E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3E8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03084">
      <w:bodyDiv w:val="1"/>
      <w:marLeft w:val="0"/>
      <w:marRight w:val="0"/>
      <w:marTop w:val="0"/>
      <w:marBottom w:val="0"/>
      <w:divBdr>
        <w:top w:val="none" w:sz="0" w:space="0" w:color="auto"/>
        <w:left w:val="none" w:sz="0" w:space="0" w:color="auto"/>
        <w:bottom w:val="none" w:sz="0" w:space="0" w:color="auto"/>
        <w:right w:val="none" w:sz="0" w:space="0" w:color="auto"/>
      </w:divBdr>
      <w:divsChild>
        <w:div w:id="1178229084">
          <w:marLeft w:val="446"/>
          <w:marRight w:val="0"/>
          <w:marTop w:val="0"/>
          <w:marBottom w:val="0"/>
          <w:divBdr>
            <w:top w:val="none" w:sz="0" w:space="0" w:color="auto"/>
            <w:left w:val="none" w:sz="0" w:space="0" w:color="auto"/>
            <w:bottom w:val="none" w:sz="0" w:space="0" w:color="auto"/>
            <w:right w:val="none" w:sz="0" w:space="0" w:color="auto"/>
          </w:divBdr>
        </w:div>
        <w:div w:id="571932961">
          <w:marLeft w:val="446"/>
          <w:marRight w:val="0"/>
          <w:marTop w:val="0"/>
          <w:marBottom w:val="0"/>
          <w:divBdr>
            <w:top w:val="none" w:sz="0" w:space="0" w:color="auto"/>
            <w:left w:val="none" w:sz="0" w:space="0" w:color="auto"/>
            <w:bottom w:val="none" w:sz="0" w:space="0" w:color="auto"/>
            <w:right w:val="none" w:sz="0" w:space="0" w:color="auto"/>
          </w:divBdr>
        </w:div>
        <w:div w:id="121596879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cid:image001.png@01CFA7E1.001E27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 Stephanie</dc:creator>
  <cp:lastModifiedBy>Philo, Stephanie</cp:lastModifiedBy>
  <cp:revision>2</cp:revision>
  <dcterms:created xsi:type="dcterms:W3CDTF">2014-07-25T16:35:00Z</dcterms:created>
  <dcterms:modified xsi:type="dcterms:W3CDTF">2014-07-29T16:29:00Z</dcterms:modified>
</cp:coreProperties>
</file>