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A7" w:rsidRDefault="00A204A7" w:rsidP="00A204A7">
      <w:pPr>
        <w:pStyle w:val="ListParagraph"/>
        <w:numPr>
          <w:ilvl w:val="0"/>
          <w:numId w:val="1"/>
        </w:numPr>
        <w:rPr>
          <w:color w:val="000000"/>
        </w:rPr>
      </w:pPr>
      <w:r w:rsidRPr="00A204A7">
        <w:rPr>
          <w:b/>
          <w:color w:val="000000"/>
          <w:u w:val="single"/>
        </w:rPr>
        <w:t>Effective Mon., July 2</w:t>
      </w:r>
      <w:r w:rsidRPr="00A204A7">
        <w:rPr>
          <w:b/>
          <w:color w:val="000000"/>
        </w:rPr>
        <w:t>:</w:t>
      </w:r>
      <w:r>
        <w:rPr>
          <w:color w:val="000000"/>
        </w:rPr>
        <w:t xml:space="preserve"> Patients admitted as inpatient’s through the Admitting Office and ED Registration will have an electronic version of </w:t>
      </w:r>
      <w:r w:rsidRPr="00A204A7">
        <w:rPr>
          <w:b/>
          <w:bCs/>
          <w:i/>
          <w:iCs/>
          <w:color w:val="000000"/>
          <w:u w:val="single"/>
        </w:rPr>
        <w:t>the Advance Directive Assessment</w:t>
      </w:r>
      <w:r>
        <w:rPr>
          <w:b/>
          <w:bCs/>
          <w:i/>
          <w:iCs/>
          <w:color w:val="000000"/>
        </w:rPr>
        <w:t xml:space="preserve">  </w:t>
      </w:r>
      <w:r>
        <w:rPr>
          <w:color w:val="000000"/>
        </w:rPr>
        <w:t xml:space="preserve">(formerly known as the “Purple Form”) done on a </w:t>
      </w:r>
      <w:proofErr w:type="spellStart"/>
      <w:r>
        <w:rPr>
          <w:color w:val="000000"/>
        </w:rPr>
        <w:t>Starform</w:t>
      </w:r>
      <w:proofErr w:type="spellEnd"/>
      <w:r>
        <w:rPr>
          <w:color w:val="000000"/>
        </w:rPr>
        <w:t xml:space="preserve"> and saved to StarPanel. When doing their admission assessment, nurses should check for presence of this document in StarPanel. (Go to “All Documents” view. See below.)</w:t>
      </w:r>
    </w:p>
    <w:p w:rsidR="00A204A7" w:rsidRDefault="00A204A7" w:rsidP="00A204A7">
      <w:pPr>
        <w:ind w:left="720"/>
        <w:rPr>
          <w:color w:val="000000"/>
        </w:rPr>
      </w:pPr>
      <w:r>
        <w:rPr>
          <w:color w:val="000000"/>
        </w:rPr>
        <w:t xml:space="preserve">If there is no an electronic version shown (as would be the case for “Direct Admits” or patients who otherwise by-pass regular registration processes), nurses should complete a paper version (available from E-Docs). Once completed, it should be scanned into StarPanel for access by all team members. </w:t>
      </w:r>
    </w:p>
    <w:p w:rsidR="00A204A7" w:rsidRDefault="00A204A7" w:rsidP="00A204A7">
      <w:pPr>
        <w:ind w:left="360"/>
      </w:pPr>
    </w:p>
    <w:p w:rsidR="00A204A7" w:rsidRDefault="00A204A7" w:rsidP="00A204A7">
      <w:pPr>
        <w:pStyle w:val="ListParagraph"/>
      </w:pPr>
      <w:r>
        <w:rPr>
          <w:noProof/>
        </w:rPr>
        <w:drawing>
          <wp:inline distT="0" distB="0" distL="0" distR="0">
            <wp:extent cx="5059680" cy="4549140"/>
            <wp:effectExtent l="19050" t="19050" r="26670" b="22860"/>
            <wp:docPr id="2" name="Picture 2" descr="Description: Description: cid:image002.png@01CD4EEB.86AA6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2.png@01CD4EEB.86AA6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59680" cy="4549140"/>
                    </a:xfrm>
                    <a:prstGeom prst="rect">
                      <a:avLst/>
                    </a:prstGeom>
                    <a:noFill/>
                    <a:ln>
                      <a:solidFill>
                        <a:schemeClr val="accent1"/>
                      </a:solidFill>
                    </a:ln>
                  </pic:spPr>
                </pic:pic>
              </a:graphicData>
            </a:graphic>
          </wp:inline>
        </w:drawing>
      </w: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bookmarkStart w:id="0" w:name="_GoBack"/>
      <w:bookmarkEnd w:id="0"/>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Default="00A204A7" w:rsidP="00A204A7">
      <w:pPr>
        <w:pStyle w:val="ListParagraph"/>
      </w:pPr>
    </w:p>
    <w:p w:rsidR="00A204A7" w:rsidRPr="00A204A7" w:rsidRDefault="00A204A7" w:rsidP="00A204A7">
      <w:pPr>
        <w:pStyle w:val="ListParagraph"/>
      </w:pPr>
    </w:p>
    <w:p w:rsidR="00A204A7" w:rsidRDefault="00A204A7" w:rsidP="00A204A7">
      <w:pPr>
        <w:pStyle w:val="ListParagraph"/>
        <w:numPr>
          <w:ilvl w:val="0"/>
          <w:numId w:val="1"/>
        </w:numPr>
      </w:pPr>
      <w:proofErr w:type="spellStart"/>
      <w:r w:rsidRPr="00A204A7">
        <w:rPr>
          <w:b/>
          <w:u w:val="single"/>
        </w:rPr>
        <w:t>Effecitve</w:t>
      </w:r>
      <w:proofErr w:type="spellEnd"/>
      <w:r w:rsidRPr="00A204A7">
        <w:rPr>
          <w:b/>
          <w:u w:val="single"/>
        </w:rPr>
        <w:t xml:space="preserve"> Mon., July 9</w:t>
      </w:r>
      <w:r>
        <w:rPr>
          <w:u w:val="single"/>
        </w:rPr>
        <w:t>,</w:t>
      </w:r>
      <w:r>
        <w:t xml:space="preserve"> we will implement a new </w:t>
      </w:r>
      <w:proofErr w:type="spellStart"/>
      <w:r w:rsidRPr="00A204A7">
        <w:rPr>
          <w:b/>
          <w:i/>
          <w:u w:val="single"/>
        </w:rPr>
        <w:t>Vancomycin</w:t>
      </w:r>
      <w:proofErr w:type="spellEnd"/>
      <w:r w:rsidRPr="00A204A7">
        <w:rPr>
          <w:b/>
          <w:i/>
          <w:u w:val="single"/>
        </w:rPr>
        <w:t xml:space="preserve"> Advisor in HEO/Wiz</w:t>
      </w:r>
      <w:r>
        <w:t xml:space="preserve"> that will support safer ordering of this drug. At that time, you will see new Messages in Care Organizer with specific date/time instructions to draw Vancomycin trough levels before a specific dose. The attached one page Power Point slide is copied below to show these changes and how to address the prompt in AdminRx. We will include this reminder in the next couple of HED updates as a reminder. </w:t>
      </w:r>
    </w:p>
    <w:p w:rsidR="00A204A7" w:rsidRDefault="00A204A7" w:rsidP="00A204A7"/>
    <w:p w:rsidR="00A204A7" w:rsidRDefault="00A204A7" w:rsidP="00A204A7">
      <w:pPr>
        <w:rPr>
          <w:color w:val="1F497D"/>
          <w:sz w:val="24"/>
          <w:szCs w:val="24"/>
        </w:rPr>
      </w:pPr>
      <w:r>
        <w:rPr>
          <w:noProof/>
        </w:rPr>
        <w:drawing>
          <wp:inline distT="0" distB="0" distL="0" distR="0">
            <wp:extent cx="6724612" cy="4930140"/>
            <wp:effectExtent l="19050" t="19050" r="19685" b="22860"/>
            <wp:docPr id="1" name="Picture 1" descr="Description: Description: cid:image003.png@01CD4EEB.86AA6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CD4EEB.86AA6F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24612" cy="4930140"/>
                    </a:xfrm>
                    <a:prstGeom prst="rect">
                      <a:avLst/>
                    </a:prstGeom>
                    <a:noFill/>
                    <a:ln>
                      <a:solidFill>
                        <a:schemeClr val="accent1"/>
                      </a:solidFill>
                    </a:ln>
                  </pic:spPr>
                </pic:pic>
              </a:graphicData>
            </a:graphic>
          </wp:inline>
        </w:drawing>
      </w:r>
    </w:p>
    <w:p w:rsidR="00A204A7" w:rsidRDefault="00A204A7" w:rsidP="00A204A7">
      <w:pPr>
        <w:rPr>
          <w:color w:val="1F497D"/>
          <w:sz w:val="24"/>
          <w:szCs w:val="24"/>
        </w:rPr>
      </w:pPr>
    </w:p>
    <w:p w:rsidR="00A204A7" w:rsidRDefault="00A204A7" w:rsidP="00A204A7">
      <w:pPr>
        <w:rPr>
          <w:color w:val="1F497D"/>
          <w:sz w:val="24"/>
          <w:szCs w:val="24"/>
        </w:rPr>
      </w:pPr>
    </w:p>
    <w:p w:rsidR="00A204A7" w:rsidRDefault="00A204A7" w:rsidP="00A204A7">
      <w:pPr>
        <w:rPr>
          <w:b/>
          <w:bCs/>
          <w:color w:val="1F497D"/>
          <w:sz w:val="24"/>
          <w:szCs w:val="24"/>
        </w:rPr>
      </w:pPr>
      <w:r>
        <w:rPr>
          <w:b/>
          <w:bCs/>
          <w:color w:val="1F497D"/>
          <w:sz w:val="24"/>
          <w:szCs w:val="24"/>
        </w:rPr>
        <w:t>Karen Hughart, MSN, RN-BC</w:t>
      </w:r>
    </w:p>
    <w:p w:rsidR="00A204A7" w:rsidRDefault="00A204A7" w:rsidP="00A204A7">
      <w:pPr>
        <w:rPr>
          <w:color w:val="1F497D"/>
          <w:sz w:val="20"/>
          <w:szCs w:val="20"/>
        </w:rPr>
      </w:pPr>
      <w:r>
        <w:rPr>
          <w:color w:val="1F497D"/>
          <w:sz w:val="20"/>
          <w:szCs w:val="20"/>
        </w:rPr>
        <w:t>Director, Systems Support Services</w:t>
      </w:r>
    </w:p>
    <w:p w:rsidR="00A204A7" w:rsidRDefault="00A204A7" w:rsidP="00A204A7">
      <w:pPr>
        <w:rPr>
          <w:color w:val="1F497D"/>
          <w:sz w:val="20"/>
          <w:szCs w:val="20"/>
        </w:rPr>
      </w:pPr>
      <w:r>
        <w:rPr>
          <w:color w:val="1F497D"/>
          <w:sz w:val="20"/>
          <w:szCs w:val="20"/>
        </w:rPr>
        <w:t>1009 Oxford House</w:t>
      </w:r>
    </w:p>
    <w:p w:rsidR="00A204A7" w:rsidRDefault="00A204A7" w:rsidP="00A204A7">
      <w:pPr>
        <w:rPr>
          <w:color w:val="1F497D"/>
          <w:sz w:val="20"/>
          <w:szCs w:val="20"/>
        </w:rPr>
      </w:pPr>
      <w:r>
        <w:rPr>
          <w:color w:val="1F497D"/>
          <w:sz w:val="20"/>
          <w:szCs w:val="20"/>
        </w:rPr>
        <w:t>Vanderbilt University Medical Center</w:t>
      </w:r>
    </w:p>
    <w:p w:rsidR="00A204A7" w:rsidRDefault="00A204A7" w:rsidP="00A204A7">
      <w:pPr>
        <w:rPr>
          <w:color w:val="1F497D"/>
          <w:sz w:val="20"/>
          <w:szCs w:val="20"/>
        </w:rPr>
      </w:pPr>
      <w:r>
        <w:rPr>
          <w:color w:val="1F497D"/>
          <w:sz w:val="20"/>
          <w:szCs w:val="20"/>
        </w:rPr>
        <w:t>Nashville, TN  37232-4740</w:t>
      </w:r>
    </w:p>
    <w:p w:rsidR="00A204A7" w:rsidRDefault="00A204A7" w:rsidP="00A204A7">
      <w:pPr>
        <w:rPr>
          <w:color w:val="1F497D"/>
          <w:sz w:val="20"/>
          <w:szCs w:val="20"/>
        </w:rPr>
      </w:pPr>
      <w:r>
        <w:rPr>
          <w:color w:val="1F497D"/>
          <w:sz w:val="20"/>
          <w:szCs w:val="20"/>
        </w:rPr>
        <w:t>(615)936-6779</w:t>
      </w:r>
    </w:p>
    <w:p w:rsidR="00A204A7" w:rsidRDefault="00A204A7" w:rsidP="00A204A7">
      <w:pPr>
        <w:rPr>
          <w:color w:val="1F497D"/>
          <w:sz w:val="20"/>
          <w:szCs w:val="20"/>
        </w:rPr>
      </w:pPr>
      <w:hyperlink r:id="rId12" w:history="1">
        <w:r>
          <w:rPr>
            <w:rStyle w:val="Hyperlink"/>
            <w:sz w:val="20"/>
            <w:szCs w:val="20"/>
          </w:rPr>
          <w:t>karen.l.hughart@Vanderbilt.edu</w:t>
        </w:r>
      </w:hyperlink>
    </w:p>
    <w:p w:rsidR="00F5183D" w:rsidRDefault="00F5183D"/>
    <w:sectPr w:rsidR="00F5183D" w:rsidSect="00A204A7">
      <w:footerReference w:type="default" r:id="rId13"/>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A7" w:rsidRDefault="00A204A7" w:rsidP="00A204A7">
      <w:r>
        <w:separator/>
      </w:r>
    </w:p>
  </w:endnote>
  <w:endnote w:type="continuationSeparator" w:id="0">
    <w:p w:rsidR="00A204A7" w:rsidRDefault="00A204A7" w:rsidP="00A2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895774"/>
      <w:docPartObj>
        <w:docPartGallery w:val="Page Numbers (Bottom of Page)"/>
        <w:docPartUnique/>
      </w:docPartObj>
    </w:sdtPr>
    <w:sdtEndPr>
      <w:rPr>
        <w:noProof/>
      </w:rPr>
    </w:sdtEndPr>
    <w:sdtContent>
      <w:p w:rsidR="00A204A7" w:rsidRDefault="00A204A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204A7" w:rsidRDefault="00A2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A7" w:rsidRDefault="00A204A7" w:rsidP="00A204A7">
      <w:r>
        <w:separator/>
      </w:r>
    </w:p>
  </w:footnote>
  <w:footnote w:type="continuationSeparator" w:id="0">
    <w:p w:rsidR="00A204A7" w:rsidRDefault="00A204A7" w:rsidP="00A20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90274"/>
    <w:multiLevelType w:val="hybridMultilevel"/>
    <w:tmpl w:val="02F6E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A7"/>
    <w:rsid w:val="00A204A7"/>
    <w:rsid w:val="00F5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4A7"/>
    <w:rPr>
      <w:color w:val="0000FF"/>
      <w:u w:val="single"/>
    </w:rPr>
  </w:style>
  <w:style w:type="paragraph" w:styleId="ListParagraph">
    <w:name w:val="List Paragraph"/>
    <w:basedOn w:val="Normal"/>
    <w:uiPriority w:val="34"/>
    <w:qFormat/>
    <w:rsid w:val="00A204A7"/>
    <w:pPr>
      <w:ind w:left="720"/>
    </w:pPr>
  </w:style>
  <w:style w:type="paragraph" w:styleId="BalloonText">
    <w:name w:val="Balloon Text"/>
    <w:basedOn w:val="Normal"/>
    <w:link w:val="BalloonTextChar"/>
    <w:uiPriority w:val="99"/>
    <w:semiHidden/>
    <w:unhideWhenUsed/>
    <w:rsid w:val="00A204A7"/>
    <w:rPr>
      <w:rFonts w:ascii="Tahoma" w:hAnsi="Tahoma" w:cs="Tahoma"/>
      <w:sz w:val="16"/>
      <w:szCs w:val="16"/>
    </w:rPr>
  </w:style>
  <w:style w:type="character" w:customStyle="1" w:styleId="BalloonTextChar">
    <w:name w:val="Balloon Text Char"/>
    <w:basedOn w:val="DefaultParagraphFont"/>
    <w:link w:val="BalloonText"/>
    <w:uiPriority w:val="99"/>
    <w:semiHidden/>
    <w:rsid w:val="00A204A7"/>
    <w:rPr>
      <w:rFonts w:ascii="Tahoma" w:hAnsi="Tahoma" w:cs="Tahoma"/>
      <w:sz w:val="16"/>
      <w:szCs w:val="16"/>
    </w:rPr>
  </w:style>
  <w:style w:type="paragraph" w:styleId="Header">
    <w:name w:val="header"/>
    <w:basedOn w:val="Normal"/>
    <w:link w:val="HeaderChar"/>
    <w:uiPriority w:val="99"/>
    <w:unhideWhenUsed/>
    <w:rsid w:val="00A204A7"/>
    <w:pPr>
      <w:tabs>
        <w:tab w:val="center" w:pos="4680"/>
        <w:tab w:val="right" w:pos="9360"/>
      </w:tabs>
    </w:pPr>
  </w:style>
  <w:style w:type="character" w:customStyle="1" w:styleId="HeaderChar">
    <w:name w:val="Header Char"/>
    <w:basedOn w:val="DefaultParagraphFont"/>
    <w:link w:val="Header"/>
    <w:uiPriority w:val="99"/>
    <w:rsid w:val="00A204A7"/>
    <w:rPr>
      <w:rFonts w:ascii="Calibri" w:hAnsi="Calibri" w:cs="Calibri"/>
    </w:rPr>
  </w:style>
  <w:style w:type="paragraph" w:styleId="Footer">
    <w:name w:val="footer"/>
    <w:basedOn w:val="Normal"/>
    <w:link w:val="FooterChar"/>
    <w:uiPriority w:val="99"/>
    <w:unhideWhenUsed/>
    <w:rsid w:val="00A204A7"/>
    <w:pPr>
      <w:tabs>
        <w:tab w:val="center" w:pos="4680"/>
        <w:tab w:val="right" w:pos="9360"/>
      </w:tabs>
    </w:pPr>
  </w:style>
  <w:style w:type="character" w:customStyle="1" w:styleId="FooterChar">
    <w:name w:val="Footer Char"/>
    <w:basedOn w:val="DefaultParagraphFont"/>
    <w:link w:val="Footer"/>
    <w:uiPriority w:val="99"/>
    <w:rsid w:val="00A204A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4A7"/>
    <w:rPr>
      <w:color w:val="0000FF"/>
      <w:u w:val="single"/>
    </w:rPr>
  </w:style>
  <w:style w:type="paragraph" w:styleId="ListParagraph">
    <w:name w:val="List Paragraph"/>
    <w:basedOn w:val="Normal"/>
    <w:uiPriority w:val="34"/>
    <w:qFormat/>
    <w:rsid w:val="00A204A7"/>
    <w:pPr>
      <w:ind w:left="720"/>
    </w:pPr>
  </w:style>
  <w:style w:type="paragraph" w:styleId="BalloonText">
    <w:name w:val="Balloon Text"/>
    <w:basedOn w:val="Normal"/>
    <w:link w:val="BalloonTextChar"/>
    <w:uiPriority w:val="99"/>
    <w:semiHidden/>
    <w:unhideWhenUsed/>
    <w:rsid w:val="00A204A7"/>
    <w:rPr>
      <w:rFonts w:ascii="Tahoma" w:hAnsi="Tahoma" w:cs="Tahoma"/>
      <w:sz w:val="16"/>
      <w:szCs w:val="16"/>
    </w:rPr>
  </w:style>
  <w:style w:type="character" w:customStyle="1" w:styleId="BalloonTextChar">
    <w:name w:val="Balloon Text Char"/>
    <w:basedOn w:val="DefaultParagraphFont"/>
    <w:link w:val="BalloonText"/>
    <w:uiPriority w:val="99"/>
    <w:semiHidden/>
    <w:rsid w:val="00A204A7"/>
    <w:rPr>
      <w:rFonts w:ascii="Tahoma" w:hAnsi="Tahoma" w:cs="Tahoma"/>
      <w:sz w:val="16"/>
      <w:szCs w:val="16"/>
    </w:rPr>
  </w:style>
  <w:style w:type="paragraph" w:styleId="Header">
    <w:name w:val="header"/>
    <w:basedOn w:val="Normal"/>
    <w:link w:val="HeaderChar"/>
    <w:uiPriority w:val="99"/>
    <w:unhideWhenUsed/>
    <w:rsid w:val="00A204A7"/>
    <w:pPr>
      <w:tabs>
        <w:tab w:val="center" w:pos="4680"/>
        <w:tab w:val="right" w:pos="9360"/>
      </w:tabs>
    </w:pPr>
  </w:style>
  <w:style w:type="character" w:customStyle="1" w:styleId="HeaderChar">
    <w:name w:val="Header Char"/>
    <w:basedOn w:val="DefaultParagraphFont"/>
    <w:link w:val="Header"/>
    <w:uiPriority w:val="99"/>
    <w:rsid w:val="00A204A7"/>
    <w:rPr>
      <w:rFonts w:ascii="Calibri" w:hAnsi="Calibri" w:cs="Calibri"/>
    </w:rPr>
  </w:style>
  <w:style w:type="paragraph" w:styleId="Footer">
    <w:name w:val="footer"/>
    <w:basedOn w:val="Normal"/>
    <w:link w:val="FooterChar"/>
    <w:uiPriority w:val="99"/>
    <w:unhideWhenUsed/>
    <w:rsid w:val="00A204A7"/>
    <w:pPr>
      <w:tabs>
        <w:tab w:val="center" w:pos="4680"/>
        <w:tab w:val="right" w:pos="9360"/>
      </w:tabs>
    </w:pPr>
  </w:style>
  <w:style w:type="character" w:customStyle="1" w:styleId="FooterChar">
    <w:name w:val="Footer Char"/>
    <w:basedOn w:val="DefaultParagraphFont"/>
    <w:link w:val="Footer"/>
    <w:uiPriority w:val="99"/>
    <w:rsid w:val="00A204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en.l.hughart@Vanderbi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png@01CD6375.60CC2F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CD6375.60CC2F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Huff-Simmons, Connie G</dc:creator>
  <cp:lastModifiedBy>Huff-Simmons, Connie G</cp:lastModifiedBy>
  <cp:revision>1</cp:revision>
  <dcterms:created xsi:type="dcterms:W3CDTF">2012-07-17T19:17:00Z</dcterms:created>
  <dcterms:modified xsi:type="dcterms:W3CDTF">2012-07-17T19:29:00Z</dcterms:modified>
</cp:coreProperties>
</file>